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1.2024年人才发展资金-高层次人才服务证（高质量发展资金）绩效目标表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2024年人才发展资金-高层次人才服务证（高质量发展资金）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w:t>
            </w:r>
          </w:p>
        </w:tc>
        <w:tc>
          <w:tcPr>
            <w:tcW w:w="1587" w:type="dxa"/>
            <w:vAlign w:val="center"/>
          </w:tcPr>
          <w:p>
            <w:pPr>
              <w:pStyle w:val="14"/>
            </w:pPr>
            <w:r>
              <w:t>其中：财政    资金</w:t>
            </w:r>
          </w:p>
        </w:tc>
        <w:tc>
          <w:tcPr>
            <w:tcW w:w="1843" w:type="dxa"/>
            <w:vAlign w:val="center"/>
          </w:tcPr>
          <w:p>
            <w:pPr>
              <w:pStyle w:val="13"/>
            </w:pPr>
            <w:r>
              <w:t>1800.00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用于发放代金券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1.通过发放代金券提供旅游景区服务，助力服务高层次人才发展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资助人次</w:t>
            </w:r>
          </w:p>
        </w:tc>
        <w:tc>
          <w:tcPr>
            <w:tcW w:w="3430" w:type="dxa"/>
            <w:vAlign w:val="center"/>
          </w:tcPr>
          <w:p>
            <w:pPr>
              <w:pStyle w:val="13"/>
            </w:pPr>
            <w:r>
              <w:t>资助人次</w:t>
            </w:r>
          </w:p>
        </w:tc>
        <w:tc>
          <w:tcPr>
            <w:tcW w:w="2551" w:type="dxa"/>
            <w:vAlign w:val="center"/>
          </w:tcPr>
          <w:p>
            <w:pPr>
              <w:pStyle w:val="13"/>
            </w:pPr>
            <w:r>
              <w:t>47人次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旅游代金券使用率</w:t>
            </w:r>
          </w:p>
        </w:tc>
        <w:tc>
          <w:tcPr>
            <w:tcW w:w="3430" w:type="dxa"/>
            <w:vAlign w:val="center"/>
          </w:tcPr>
          <w:p>
            <w:pPr>
              <w:pStyle w:val="13"/>
            </w:pPr>
            <w:r>
              <w:t>旅游代金券使用率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3430" w:type="dxa"/>
            <w:vAlign w:val="center"/>
          </w:tcPr>
          <w:p>
            <w:pPr>
              <w:pStyle w:val="13"/>
            </w:pPr>
            <w:r>
              <w:t>完成时间</w:t>
            </w:r>
          </w:p>
        </w:tc>
        <w:tc>
          <w:tcPr>
            <w:tcW w:w="2551" w:type="dxa"/>
            <w:vAlign w:val="center"/>
          </w:tcPr>
          <w:p>
            <w:pPr>
              <w:pStyle w:val="13"/>
            </w:pPr>
            <w:r>
              <w:t>2024年12月底前完成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2025年印制代金券成本</w:t>
            </w:r>
          </w:p>
        </w:tc>
        <w:tc>
          <w:tcPr>
            <w:tcW w:w="3430" w:type="dxa"/>
            <w:vAlign w:val="center"/>
          </w:tcPr>
          <w:p>
            <w:pPr>
              <w:pStyle w:val="13"/>
            </w:pPr>
            <w:r>
              <w:t>2025年印制代金券成本</w:t>
            </w:r>
          </w:p>
        </w:tc>
        <w:tc>
          <w:tcPr>
            <w:tcW w:w="2551" w:type="dxa"/>
            <w:vAlign w:val="center"/>
          </w:tcPr>
          <w:p>
            <w:pPr>
              <w:pStyle w:val="13"/>
            </w:pPr>
            <w:r>
              <w:t>≤0.18万元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优化人才创新创业发展环境</w:t>
            </w:r>
          </w:p>
        </w:tc>
        <w:tc>
          <w:tcPr>
            <w:tcW w:w="3430" w:type="dxa"/>
            <w:vAlign w:val="center"/>
          </w:tcPr>
          <w:p>
            <w:pPr>
              <w:pStyle w:val="13"/>
            </w:pPr>
            <w:r>
              <w:t>优化人才创新创业发展环境</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2.2025年文旅局东西部协作和支援合作项目经费绩效目标表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2025年文旅局东西部协作和支援合作项目经费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用于东西部协作和支援合作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1.通过东西部协作和支援合作工作，丰富协作和支援合作地区百姓文化生活。</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支援文化设施建设数量</w:t>
            </w:r>
          </w:p>
        </w:tc>
        <w:tc>
          <w:tcPr>
            <w:tcW w:w="3430" w:type="dxa"/>
            <w:vAlign w:val="center"/>
          </w:tcPr>
          <w:p>
            <w:pPr>
              <w:pStyle w:val="13"/>
            </w:pPr>
            <w:r>
              <w:t>支援文化设施建设数量</w:t>
            </w:r>
          </w:p>
        </w:tc>
        <w:tc>
          <w:tcPr>
            <w:tcW w:w="2551" w:type="dxa"/>
            <w:vAlign w:val="center"/>
          </w:tcPr>
          <w:p>
            <w:pPr>
              <w:pStyle w:val="13"/>
            </w:pPr>
            <w:r>
              <w:t>≥1处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设施建设达标率</w:t>
            </w:r>
          </w:p>
        </w:tc>
        <w:tc>
          <w:tcPr>
            <w:tcW w:w="3430" w:type="dxa"/>
            <w:vAlign w:val="center"/>
          </w:tcPr>
          <w:p>
            <w:pPr>
              <w:pStyle w:val="13"/>
            </w:pPr>
            <w:r>
              <w:t>设施建设达标率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设施完工时间</w:t>
            </w:r>
          </w:p>
        </w:tc>
        <w:tc>
          <w:tcPr>
            <w:tcW w:w="3430" w:type="dxa"/>
            <w:vAlign w:val="center"/>
          </w:tcPr>
          <w:p>
            <w:pPr>
              <w:pStyle w:val="13"/>
            </w:pPr>
            <w:r>
              <w:t>设施完工时间</w:t>
            </w:r>
          </w:p>
        </w:tc>
        <w:tc>
          <w:tcPr>
            <w:tcW w:w="2551" w:type="dxa"/>
            <w:vAlign w:val="center"/>
          </w:tcPr>
          <w:p>
            <w:pPr>
              <w:pStyle w:val="13"/>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设施施工成本</w:t>
            </w:r>
          </w:p>
        </w:tc>
        <w:tc>
          <w:tcPr>
            <w:tcW w:w="3430" w:type="dxa"/>
            <w:vAlign w:val="center"/>
          </w:tcPr>
          <w:p>
            <w:pPr>
              <w:pStyle w:val="13"/>
            </w:pPr>
            <w:r>
              <w:t>设施施工成本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公共文化服务水平</w:t>
            </w:r>
          </w:p>
        </w:tc>
        <w:tc>
          <w:tcPr>
            <w:tcW w:w="3430" w:type="dxa"/>
            <w:vAlign w:val="center"/>
          </w:tcPr>
          <w:p>
            <w:pPr>
              <w:pStyle w:val="13"/>
            </w:pPr>
            <w:r>
              <w:t>公共文化服务水平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对口支援地区群众满意度</w:t>
            </w:r>
          </w:p>
        </w:tc>
        <w:tc>
          <w:tcPr>
            <w:tcW w:w="3430" w:type="dxa"/>
            <w:vAlign w:val="center"/>
          </w:tcPr>
          <w:p>
            <w:pPr>
              <w:pStyle w:val="13"/>
            </w:pPr>
            <w:r>
              <w:t>对口支援地区群众满意度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3.2025年文旅局旅游业高质量发展专项绩效目标表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2025年文旅局旅游业高质量发展专项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550000.00</w:t>
            </w:r>
          </w:p>
        </w:tc>
        <w:tc>
          <w:tcPr>
            <w:tcW w:w="1587" w:type="dxa"/>
            <w:vAlign w:val="center"/>
          </w:tcPr>
          <w:p>
            <w:pPr>
              <w:pStyle w:val="14"/>
            </w:pPr>
            <w:r>
              <w:t>其中：财政    资金</w:t>
            </w:r>
          </w:p>
        </w:tc>
        <w:tc>
          <w:tcPr>
            <w:tcW w:w="1843" w:type="dxa"/>
            <w:vAlign w:val="center"/>
          </w:tcPr>
          <w:p>
            <w:pPr>
              <w:pStyle w:val="13"/>
            </w:pPr>
            <w:r>
              <w:t>550000.00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用于开展平日与节假日旅游数据统计和分析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1.通过全年旅游数据的统计和分析，总结全年旅游事业和产业相关指标发展规律，为文旅发展提供重要参考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开展项目数量</w:t>
            </w:r>
          </w:p>
        </w:tc>
        <w:tc>
          <w:tcPr>
            <w:tcW w:w="3430" w:type="dxa"/>
            <w:vAlign w:val="center"/>
          </w:tcPr>
          <w:p>
            <w:pPr>
              <w:pStyle w:val="13"/>
            </w:pPr>
            <w:r>
              <w:t>开展项目数量</w:t>
            </w:r>
          </w:p>
        </w:tc>
        <w:tc>
          <w:tcPr>
            <w:tcW w:w="2551" w:type="dxa"/>
            <w:vAlign w:val="center"/>
          </w:tcPr>
          <w:p>
            <w:pPr>
              <w:pStyle w:val="13"/>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涉及旅游经济行业覆盖率</w:t>
            </w:r>
          </w:p>
        </w:tc>
        <w:tc>
          <w:tcPr>
            <w:tcW w:w="3430" w:type="dxa"/>
            <w:vAlign w:val="center"/>
          </w:tcPr>
          <w:p>
            <w:pPr>
              <w:pStyle w:val="13"/>
            </w:pPr>
            <w:r>
              <w:t>涉及旅游经济行业覆盖率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平日统计项目成本</w:t>
            </w:r>
          </w:p>
        </w:tc>
        <w:tc>
          <w:tcPr>
            <w:tcW w:w="3430" w:type="dxa"/>
            <w:vAlign w:val="center"/>
          </w:tcPr>
          <w:p>
            <w:pPr>
              <w:pStyle w:val="13"/>
            </w:pPr>
            <w:r>
              <w:t>平日统计项目成本</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节假日统计项目成本</w:t>
            </w:r>
          </w:p>
        </w:tc>
        <w:tc>
          <w:tcPr>
            <w:tcW w:w="3430" w:type="dxa"/>
            <w:vAlign w:val="center"/>
          </w:tcPr>
          <w:p>
            <w:pPr>
              <w:pStyle w:val="13"/>
            </w:pPr>
            <w:r>
              <w:t>节假日统计项目成本</w:t>
            </w:r>
          </w:p>
        </w:tc>
        <w:tc>
          <w:tcPr>
            <w:tcW w:w="2551"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3430" w:type="dxa"/>
            <w:vAlign w:val="center"/>
          </w:tcPr>
          <w:p>
            <w:pPr>
              <w:pStyle w:val="13"/>
            </w:pPr>
            <w:r>
              <w:t>项目完成时限</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完善社会发展基础数据</w:t>
            </w:r>
          </w:p>
        </w:tc>
        <w:tc>
          <w:tcPr>
            <w:tcW w:w="3430" w:type="dxa"/>
            <w:vAlign w:val="center"/>
          </w:tcPr>
          <w:p>
            <w:pPr>
              <w:pStyle w:val="13"/>
            </w:pPr>
            <w:r>
              <w:t>完善社会发展基础数据</w:t>
            </w:r>
          </w:p>
        </w:tc>
        <w:tc>
          <w:tcPr>
            <w:tcW w:w="2551" w:type="dxa"/>
            <w:vAlign w:val="center"/>
          </w:tcPr>
          <w:p>
            <w:pPr>
              <w:pStyle w:val="13"/>
            </w:pPr>
            <w:r>
              <w:t>逐年完善</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调查对象满意度</w:t>
            </w:r>
          </w:p>
        </w:tc>
        <w:tc>
          <w:tcPr>
            <w:tcW w:w="3430" w:type="dxa"/>
            <w:vAlign w:val="center"/>
          </w:tcPr>
          <w:p>
            <w:pPr>
              <w:pStyle w:val="13"/>
            </w:pPr>
            <w:r>
              <w:t>调查对象满意度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4.2025年文旅局示范区创新发展专项经费绩效目标表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2025年文旅局示范区创新发展专项经费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975000.00</w:t>
            </w:r>
          </w:p>
        </w:tc>
        <w:tc>
          <w:tcPr>
            <w:tcW w:w="1587" w:type="dxa"/>
            <w:vAlign w:val="center"/>
          </w:tcPr>
          <w:p>
            <w:pPr>
              <w:pStyle w:val="14"/>
            </w:pPr>
            <w:r>
              <w:t>其中：财政    资金</w:t>
            </w:r>
          </w:p>
        </w:tc>
        <w:tc>
          <w:tcPr>
            <w:tcW w:w="1843" w:type="dxa"/>
            <w:vAlign w:val="center"/>
          </w:tcPr>
          <w:p>
            <w:pPr>
              <w:pStyle w:val="13"/>
            </w:pPr>
            <w:r>
              <w:t>975000.00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用于促进示范区创新发展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1.通过文化随行，提供公共文化数字化服务，促进公共文化服务创新发展。</w:t>
            </w:r>
          </w:p>
          <w:p>
            <w:pPr>
              <w:pStyle w:val="13"/>
            </w:pPr>
            <w:r>
              <w:t>2.通过举办“京津冀公共文化服务示范走廊”发展联盟交流活动，促进京津冀地区公共文化服务示范区协同发展。</w:t>
            </w:r>
          </w:p>
          <w:p>
            <w:pPr>
              <w:pStyle w:val="13"/>
            </w:pPr>
            <w:r>
              <w:t>3.通过开展旅游厕所质量评估，进一步完善旅游公共服务设施配套，提升景区精细化服务水平。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文化随行日常运维人员</w:t>
            </w:r>
          </w:p>
        </w:tc>
        <w:tc>
          <w:tcPr>
            <w:tcW w:w="3430" w:type="dxa"/>
            <w:vAlign w:val="center"/>
          </w:tcPr>
          <w:p>
            <w:pPr>
              <w:pStyle w:val="13"/>
            </w:pPr>
            <w:r>
              <w:t>文化随行日常运维人员</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“京津冀公共文化服务示范走廊”发展联盟交流活动</w:t>
            </w:r>
          </w:p>
        </w:tc>
        <w:tc>
          <w:tcPr>
            <w:tcW w:w="3430" w:type="dxa"/>
            <w:vAlign w:val="center"/>
          </w:tcPr>
          <w:p>
            <w:pPr>
              <w:pStyle w:val="13"/>
            </w:pPr>
            <w:r>
              <w:t>“京津冀公共文化服务示范走廊”发展联盟交流活动</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旅游厕所评估数</w:t>
            </w:r>
          </w:p>
        </w:tc>
        <w:tc>
          <w:tcPr>
            <w:tcW w:w="3430" w:type="dxa"/>
            <w:vAlign w:val="center"/>
          </w:tcPr>
          <w:p>
            <w:pPr>
              <w:pStyle w:val="13"/>
            </w:pPr>
            <w:r>
              <w:t>旅游厕所评估数</w:t>
            </w:r>
          </w:p>
        </w:tc>
        <w:tc>
          <w:tcPr>
            <w:tcW w:w="2551" w:type="dxa"/>
            <w:vAlign w:val="center"/>
          </w:tcPr>
          <w:p>
            <w:pPr>
              <w:pStyle w:val="13"/>
            </w:pPr>
            <w:r>
              <w:t>≥80处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发布信息内容审核通过率</w:t>
            </w:r>
          </w:p>
        </w:tc>
        <w:tc>
          <w:tcPr>
            <w:tcW w:w="3430" w:type="dxa"/>
            <w:vAlign w:val="center"/>
          </w:tcPr>
          <w:p>
            <w:pPr>
              <w:pStyle w:val="13"/>
            </w:pPr>
            <w:r>
              <w:t>发布信息内容审核通过率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“京津冀公共文化服务示范走廊”发展联盟成员单位参与率</w:t>
            </w:r>
          </w:p>
        </w:tc>
        <w:tc>
          <w:tcPr>
            <w:tcW w:w="3430" w:type="dxa"/>
            <w:vAlign w:val="center"/>
          </w:tcPr>
          <w:p>
            <w:pPr>
              <w:pStyle w:val="13"/>
            </w:pPr>
            <w:r>
              <w:t>“京津冀公共文化服务示范走廊”发展联盟成员单位参与率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旅游厕所2022年版国家标准实施率</w:t>
            </w:r>
          </w:p>
        </w:tc>
        <w:tc>
          <w:tcPr>
            <w:tcW w:w="3430" w:type="dxa"/>
            <w:vAlign w:val="center"/>
          </w:tcPr>
          <w:p>
            <w:pPr>
              <w:pStyle w:val="13"/>
            </w:pPr>
            <w:r>
              <w:t>旅游厕所2022年版国家标准实施率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文化随行资金支付时间</w:t>
            </w:r>
          </w:p>
        </w:tc>
        <w:tc>
          <w:tcPr>
            <w:tcW w:w="3430" w:type="dxa"/>
            <w:vAlign w:val="center"/>
          </w:tcPr>
          <w:p>
            <w:pPr>
              <w:pStyle w:val="13"/>
            </w:pPr>
            <w:r>
              <w:t>文化随行资金支付时间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“京津冀公共文化服务示范走廊”发展联盟交流活动举办时间</w:t>
            </w:r>
          </w:p>
        </w:tc>
        <w:tc>
          <w:tcPr>
            <w:tcW w:w="3430" w:type="dxa"/>
            <w:vAlign w:val="center"/>
          </w:tcPr>
          <w:p>
            <w:pPr>
              <w:pStyle w:val="13"/>
            </w:pPr>
            <w:r>
              <w:t>“京津冀公共文化服务示范走廊”发展联盟交流活动举办时间</w:t>
            </w:r>
          </w:p>
        </w:tc>
        <w:tc>
          <w:tcPr>
            <w:tcW w:w="2551" w:type="dxa"/>
            <w:vAlign w:val="center"/>
          </w:tcPr>
          <w:p>
            <w:pPr>
              <w:pStyle w:val="13"/>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旅游厕所评估完成时间</w:t>
            </w:r>
          </w:p>
        </w:tc>
        <w:tc>
          <w:tcPr>
            <w:tcW w:w="3430" w:type="dxa"/>
            <w:vAlign w:val="center"/>
          </w:tcPr>
          <w:p>
            <w:pPr>
              <w:pStyle w:val="13"/>
            </w:pPr>
            <w:r>
              <w:t>旅游厕所评估完成时间</w:t>
            </w:r>
          </w:p>
        </w:tc>
        <w:tc>
          <w:tcPr>
            <w:tcW w:w="2551" w:type="dxa"/>
            <w:vAlign w:val="center"/>
          </w:tcPr>
          <w:p>
            <w:pPr>
              <w:pStyle w:val="13"/>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文化随行往年欠款支付成本</w:t>
            </w:r>
          </w:p>
        </w:tc>
        <w:tc>
          <w:tcPr>
            <w:tcW w:w="3430" w:type="dxa"/>
            <w:vAlign w:val="center"/>
          </w:tcPr>
          <w:p>
            <w:pPr>
              <w:pStyle w:val="13"/>
            </w:pPr>
            <w:r>
              <w:t>文化随行往年欠款支付成本</w:t>
            </w:r>
          </w:p>
        </w:tc>
        <w:tc>
          <w:tcPr>
            <w:tcW w:w="2551" w:type="dxa"/>
            <w:vAlign w:val="center"/>
          </w:tcPr>
          <w:p>
            <w:pPr>
              <w:pStyle w:val="13"/>
            </w:pPr>
            <w:r>
              <w:t>≤67.95万元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文化随行2025年合同支付成本</w:t>
            </w:r>
          </w:p>
        </w:tc>
        <w:tc>
          <w:tcPr>
            <w:tcW w:w="3430" w:type="dxa"/>
            <w:vAlign w:val="center"/>
          </w:tcPr>
          <w:p>
            <w:pPr>
              <w:pStyle w:val="13"/>
            </w:pPr>
            <w:r>
              <w:t>文化随行2025年合同支付成本</w:t>
            </w:r>
          </w:p>
        </w:tc>
        <w:tc>
          <w:tcPr>
            <w:tcW w:w="2551" w:type="dxa"/>
            <w:vAlign w:val="center"/>
          </w:tcPr>
          <w:p>
            <w:pPr>
              <w:pStyle w:val="13"/>
            </w:pPr>
            <w:r>
              <w:t>≤4.55万元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发展联盟交流活动成本</w:t>
            </w:r>
          </w:p>
        </w:tc>
        <w:tc>
          <w:tcPr>
            <w:tcW w:w="3430" w:type="dxa"/>
            <w:vAlign w:val="center"/>
          </w:tcPr>
          <w:p>
            <w:pPr>
              <w:pStyle w:val="13"/>
            </w:pPr>
            <w:r>
              <w:t>发展联盟交流活动成本</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旅游厕所评估成本</w:t>
            </w:r>
          </w:p>
        </w:tc>
        <w:tc>
          <w:tcPr>
            <w:tcW w:w="3430" w:type="dxa"/>
            <w:vAlign w:val="center"/>
          </w:tcPr>
          <w:p>
            <w:pPr>
              <w:pStyle w:val="13"/>
            </w:pPr>
            <w:r>
              <w:t>旅游厕所评估成本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3430" w:type="dxa"/>
            <w:vAlign w:val="center"/>
          </w:tcPr>
          <w:p>
            <w:pPr>
              <w:pStyle w:val="13"/>
            </w:pPr>
            <w:r>
              <w:t>提升公共文化服务水平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提升旅游公共服务水平</w:t>
            </w:r>
          </w:p>
        </w:tc>
        <w:tc>
          <w:tcPr>
            <w:tcW w:w="3430" w:type="dxa"/>
            <w:vAlign w:val="center"/>
          </w:tcPr>
          <w:p>
            <w:pPr>
              <w:pStyle w:val="13"/>
            </w:pPr>
            <w:r>
              <w:t>提升旅游公共服务水平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参与群众对工作满意度</w:t>
            </w:r>
          </w:p>
        </w:tc>
        <w:tc>
          <w:tcPr>
            <w:tcW w:w="3430" w:type="dxa"/>
            <w:vAlign w:val="center"/>
          </w:tcPr>
          <w:p>
            <w:pPr>
              <w:pStyle w:val="13"/>
            </w:pPr>
            <w:r>
              <w:t>参与群众对工作满意度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5.2025年文旅局示范区创新发展专项经费*绩效目标表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2025年文旅局示范区创新发展专项经费*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用于文化随行运维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1.通过文化随行，提供公共文化数字化服务，促进公共文化服务创新发展。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文化随行日常运维人员</w:t>
            </w:r>
          </w:p>
        </w:tc>
        <w:tc>
          <w:tcPr>
            <w:tcW w:w="3430" w:type="dxa"/>
            <w:vAlign w:val="center"/>
          </w:tcPr>
          <w:p>
            <w:pPr>
              <w:pStyle w:val="13"/>
            </w:pPr>
            <w:r>
              <w:t>文化随行日常运维人员</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发布信息内容审核通过率</w:t>
            </w:r>
          </w:p>
        </w:tc>
        <w:tc>
          <w:tcPr>
            <w:tcW w:w="3430" w:type="dxa"/>
            <w:vAlign w:val="center"/>
          </w:tcPr>
          <w:p>
            <w:pPr>
              <w:pStyle w:val="13"/>
            </w:pPr>
            <w:r>
              <w:t>发布信息内容审核通过率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文化随行资金支付时间</w:t>
            </w:r>
          </w:p>
        </w:tc>
        <w:tc>
          <w:tcPr>
            <w:tcW w:w="3430" w:type="dxa"/>
            <w:vAlign w:val="center"/>
          </w:tcPr>
          <w:p>
            <w:pPr>
              <w:pStyle w:val="13"/>
            </w:pPr>
            <w:r>
              <w:t>文化随行资金支付时间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文化随行2025年合同支付成本</w:t>
            </w:r>
          </w:p>
        </w:tc>
        <w:tc>
          <w:tcPr>
            <w:tcW w:w="3430" w:type="dxa"/>
            <w:vAlign w:val="center"/>
          </w:tcPr>
          <w:p>
            <w:pPr>
              <w:pStyle w:val="13"/>
            </w:pPr>
            <w:r>
              <w:t>文化随行2025年合同支付成本</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3430" w:type="dxa"/>
            <w:vAlign w:val="center"/>
          </w:tcPr>
          <w:p>
            <w:pPr>
              <w:pStyle w:val="13"/>
            </w:pPr>
            <w:r>
              <w:t>提升公共文化服务水平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参与群众对工作满意度</w:t>
            </w:r>
          </w:p>
        </w:tc>
        <w:tc>
          <w:tcPr>
            <w:tcW w:w="3430" w:type="dxa"/>
            <w:vAlign w:val="center"/>
          </w:tcPr>
          <w:p>
            <w:pPr>
              <w:pStyle w:val="13"/>
            </w:pPr>
            <w:r>
              <w:t>参与群众对工作满意度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6.2025年文旅局天津市滨海新区应急广播项目绩效目标表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2025年文旅局天津市滨海新区应急广播项目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用于建设应急广播平台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建立应急广播系统，能够对突发公共事件的处置起到可靠预防、全方位监控、快速响应、准确预测、快速预警和高效处置的作用，能够为滨海新区提供面向突发公共事件预测预警和决策调度的有力支撑，为突发公共事件的统一协调处置提供强大的决策支持；能够有效减少天津市重点防范和处置各级各类突发事件所造的经济损失和人员伤亡，从而为滨海新区经济的全面、健康、有序、稳定和可持续发展提供有力的保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覆盖街镇数</w:t>
            </w:r>
          </w:p>
        </w:tc>
        <w:tc>
          <w:tcPr>
            <w:tcW w:w="3430" w:type="dxa"/>
            <w:vAlign w:val="center"/>
          </w:tcPr>
          <w:p>
            <w:pPr>
              <w:pStyle w:val="13"/>
            </w:pPr>
            <w:r>
              <w:t>覆盖街镇数</w:t>
            </w:r>
          </w:p>
        </w:tc>
        <w:tc>
          <w:tcPr>
            <w:tcW w:w="2551" w:type="dxa"/>
            <w:vAlign w:val="center"/>
          </w:tcPr>
          <w:p>
            <w:pPr>
              <w:pStyle w:val="13"/>
            </w:pPr>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覆盖行政村数</w:t>
            </w:r>
          </w:p>
        </w:tc>
        <w:tc>
          <w:tcPr>
            <w:tcW w:w="3430" w:type="dxa"/>
            <w:vAlign w:val="center"/>
          </w:tcPr>
          <w:p>
            <w:pPr>
              <w:pStyle w:val="13"/>
            </w:pPr>
            <w:r>
              <w:t>覆盖行政村数</w:t>
            </w:r>
          </w:p>
        </w:tc>
        <w:tc>
          <w:tcPr>
            <w:tcW w:w="2551" w:type="dxa"/>
            <w:vAlign w:val="center"/>
          </w:tcPr>
          <w:p>
            <w:pPr>
              <w:pStyle w:val="13"/>
            </w:pPr>
            <w:r>
              <w:t>≥100个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设施设备合格率</w:t>
            </w:r>
          </w:p>
        </w:tc>
        <w:tc>
          <w:tcPr>
            <w:tcW w:w="3430" w:type="dxa"/>
            <w:vAlign w:val="center"/>
          </w:tcPr>
          <w:p>
            <w:pPr>
              <w:pStyle w:val="13"/>
            </w:pPr>
            <w:r>
              <w:t>设施设备合格率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项目建成时限</w:t>
            </w:r>
          </w:p>
        </w:tc>
        <w:tc>
          <w:tcPr>
            <w:tcW w:w="3430" w:type="dxa"/>
            <w:vAlign w:val="center"/>
          </w:tcPr>
          <w:p>
            <w:pPr>
              <w:pStyle w:val="13"/>
            </w:pPr>
            <w:r>
              <w:t>项目建成时限</w:t>
            </w:r>
          </w:p>
        </w:tc>
        <w:tc>
          <w:tcPr>
            <w:tcW w:w="2551" w:type="dxa"/>
            <w:vAlign w:val="center"/>
          </w:tcPr>
          <w:p>
            <w:pPr>
              <w:pStyle w:val="13"/>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2025年应急广播系统建立经费</w:t>
            </w:r>
          </w:p>
        </w:tc>
        <w:tc>
          <w:tcPr>
            <w:tcW w:w="3430" w:type="dxa"/>
            <w:vAlign w:val="center"/>
          </w:tcPr>
          <w:p>
            <w:pPr>
              <w:pStyle w:val="13"/>
            </w:pPr>
            <w:r>
              <w:t>2025年应急广播系统建立经费</w:t>
            </w:r>
          </w:p>
        </w:tc>
        <w:tc>
          <w:tcPr>
            <w:tcW w:w="2551" w:type="dxa"/>
            <w:vAlign w:val="center"/>
          </w:tcPr>
          <w:p>
            <w:pPr>
              <w:pStyle w:val="13"/>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提升灾害事件响应速度</w:t>
            </w:r>
          </w:p>
        </w:tc>
        <w:tc>
          <w:tcPr>
            <w:tcW w:w="3430" w:type="dxa"/>
            <w:vAlign w:val="center"/>
          </w:tcPr>
          <w:p>
            <w:pPr>
              <w:pStyle w:val="13"/>
            </w:pPr>
            <w:r>
              <w:t>提升灾害事件响应速度</w:t>
            </w:r>
          </w:p>
        </w:tc>
        <w:tc>
          <w:tcPr>
            <w:tcW w:w="2551" w:type="dxa"/>
            <w:vAlign w:val="center"/>
          </w:tcPr>
          <w:p>
            <w:pPr>
              <w:pStyle w:val="13"/>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提升应急处置能力</w:t>
            </w:r>
          </w:p>
        </w:tc>
        <w:tc>
          <w:tcPr>
            <w:tcW w:w="3430" w:type="dxa"/>
            <w:vAlign w:val="center"/>
          </w:tcPr>
          <w:p>
            <w:pPr>
              <w:pStyle w:val="13"/>
            </w:pPr>
            <w:r>
              <w:t>提升应急处置能力</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覆盖街镇满意度</w:t>
            </w:r>
          </w:p>
        </w:tc>
        <w:tc>
          <w:tcPr>
            <w:tcW w:w="3430" w:type="dxa"/>
            <w:vAlign w:val="center"/>
          </w:tcPr>
          <w:p>
            <w:pPr>
              <w:pStyle w:val="13"/>
            </w:pPr>
            <w:r>
              <w:t>覆盖街镇满意度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7.2025年文旅局文化馆（站）免费开放补助资金绩效目标表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735000.00</w:t>
            </w:r>
          </w:p>
        </w:tc>
        <w:tc>
          <w:tcPr>
            <w:tcW w:w="1587" w:type="dxa"/>
            <w:vAlign w:val="center"/>
          </w:tcPr>
          <w:p>
            <w:pPr>
              <w:pStyle w:val="14"/>
            </w:pPr>
            <w:r>
              <w:t>其中：财政    资金</w:t>
            </w:r>
          </w:p>
        </w:tc>
        <w:tc>
          <w:tcPr>
            <w:tcW w:w="1843" w:type="dxa"/>
            <w:vAlign w:val="center"/>
          </w:tcPr>
          <w:p>
            <w:pPr>
              <w:pStyle w:val="13"/>
            </w:pPr>
            <w:r>
              <w:t>735000.00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用于组织活动、举办讲座和展览宣传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1.通过组织公益性群众文化活动、举办公益性讲座和展览宣传，村、社区文化骨干辅导，业务活动用房小型修缮及零星业务设备更新等，促进文化站建设，实现公共文化服务的提升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补贴街镇数</w:t>
            </w:r>
          </w:p>
        </w:tc>
        <w:tc>
          <w:tcPr>
            <w:tcW w:w="3430" w:type="dxa"/>
            <w:vAlign w:val="center"/>
          </w:tcPr>
          <w:p>
            <w:pPr>
              <w:pStyle w:val="13"/>
            </w:pPr>
            <w:r>
              <w:t>补贴街镇数</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3430" w:type="dxa"/>
            <w:vAlign w:val="center"/>
          </w:tcPr>
          <w:p>
            <w:pPr>
              <w:pStyle w:val="13"/>
            </w:pPr>
            <w:r>
              <w:t>补贴发放时间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w:t>
            </w:r>
          </w:p>
        </w:tc>
        <w:tc>
          <w:tcPr>
            <w:tcW w:w="3430" w:type="dxa"/>
            <w:vAlign w:val="center"/>
          </w:tcPr>
          <w:p>
            <w:pPr>
              <w:pStyle w:val="13"/>
            </w:pPr>
            <w:r>
              <w:t>每个街镇补贴标准</w:t>
            </w:r>
          </w:p>
        </w:tc>
        <w:tc>
          <w:tcPr>
            <w:tcW w:w="2551"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提升基本公共文化服务水平</w:t>
            </w:r>
            <w:r>
              <w:tab/>
            </w:r>
            <w:r>
              <w:tab/>
            </w:r>
          </w:p>
          <w:p>
            <w:pPr>
              <w:pStyle w:val="13"/>
            </w:pPr>
          </w:p>
        </w:tc>
        <w:tc>
          <w:tcPr>
            <w:tcW w:w="3430" w:type="dxa"/>
            <w:vAlign w:val="center"/>
          </w:tcPr>
          <w:p>
            <w:pPr>
              <w:pStyle w:val="13"/>
            </w:pPr>
            <w:r>
              <w:t>提升基本公共文化服务水平</w:t>
            </w:r>
            <w:r>
              <w:tab/>
            </w:r>
            <w:r>
              <w:tab/>
            </w:r>
          </w:p>
          <w:p>
            <w:pPr>
              <w:pStyle w:val="13"/>
            </w:pP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8.2025年文旅局文化馆创新供给制机制改革专项经费*绩效目标表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2025年文旅局文化馆创新供给制机制改革专项经费*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1510000.00</w:t>
            </w:r>
          </w:p>
        </w:tc>
        <w:tc>
          <w:tcPr>
            <w:tcW w:w="1587" w:type="dxa"/>
            <w:vAlign w:val="center"/>
          </w:tcPr>
          <w:p>
            <w:pPr>
              <w:pStyle w:val="14"/>
            </w:pPr>
            <w:r>
              <w:t>其中：财政    资金</w:t>
            </w:r>
          </w:p>
        </w:tc>
        <w:tc>
          <w:tcPr>
            <w:tcW w:w="1843" w:type="dxa"/>
            <w:vAlign w:val="center"/>
          </w:tcPr>
          <w:p>
            <w:pPr>
              <w:pStyle w:val="13"/>
            </w:pPr>
            <w:r>
              <w:t>1510000.00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用于开展创新供给机制改革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1.通过实施创新供给制机制改革，探索公共文化服务直达基层新方式，满足市民对公共文化服务多样化需求</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服务街镇数量</w:t>
            </w:r>
          </w:p>
        </w:tc>
        <w:tc>
          <w:tcPr>
            <w:tcW w:w="3430" w:type="dxa"/>
            <w:vAlign w:val="center"/>
          </w:tcPr>
          <w:p>
            <w:pPr>
              <w:pStyle w:val="13"/>
            </w:pPr>
            <w:r>
              <w:t>服务街镇数量</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服务区域覆盖率</w:t>
            </w:r>
          </w:p>
        </w:tc>
        <w:tc>
          <w:tcPr>
            <w:tcW w:w="3430" w:type="dxa"/>
            <w:vAlign w:val="center"/>
          </w:tcPr>
          <w:p>
            <w:pPr>
              <w:pStyle w:val="13"/>
            </w:pPr>
            <w:r>
              <w:t>服务区域覆盖率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服务完成时间</w:t>
            </w:r>
          </w:p>
        </w:tc>
        <w:tc>
          <w:tcPr>
            <w:tcW w:w="3430" w:type="dxa"/>
            <w:vAlign w:val="center"/>
          </w:tcPr>
          <w:p>
            <w:pPr>
              <w:pStyle w:val="13"/>
            </w:pPr>
            <w:r>
              <w:t>服务完成时间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创新供给制机制改革经费</w:t>
            </w:r>
          </w:p>
        </w:tc>
        <w:tc>
          <w:tcPr>
            <w:tcW w:w="3430" w:type="dxa"/>
            <w:vAlign w:val="center"/>
          </w:tcPr>
          <w:p>
            <w:pPr>
              <w:pStyle w:val="13"/>
            </w:pPr>
            <w:r>
              <w:t>创新供给制机制改革经费</w:t>
            </w:r>
          </w:p>
        </w:tc>
        <w:tc>
          <w:tcPr>
            <w:tcW w:w="2551" w:type="dxa"/>
            <w:vAlign w:val="center"/>
          </w:tcPr>
          <w:p>
            <w:pPr>
              <w:pStyle w:val="13"/>
            </w:pPr>
            <w:r>
              <w:t>≤151万元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公共文化服务覆盖范围</w:t>
            </w:r>
          </w:p>
        </w:tc>
        <w:tc>
          <w:tcPr>
            <w:tcW w:w="3430" w:type="dxa"/>
            <w:vAlign w:val="center"/>
          </w:tcPr>
          <w:p>
            <w:pPr>
              <w:pStyle w:val="13"/>
            </w:pPr>
            <w:r>
              <w:t>公共文化服务覆盖范围</w:t>
            </w:r>
          </w:p>
        </w:tc>
        <w:tc>
          <w:tcPr>
            <w:tcW w:w="2551" w:type="dxa"/>
            <w:vAlign w:val="center"/>
          </w:tcPr>
          <w:p>
            <w:pPr>
              <w:pStyle w:val="13"/>
            </w:pPr>
            <w:r>
              <w:t>有效扩大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服务群众满意度</w:t>
            </w:r>
          </w:p>
        </w:tc>
        <w:tc>
          <w:tcPr>
            <w:tcW w:w="3430" w:type="dxa"/>
            <w:vAlign w:val="center"/>
          </w:tcPr>
          <w:p>
            <w:pPr>
              <w:pStyle w:val="13"/>
            </w:pPr>
            <w:r>
              <w:t>服务群众满意度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9.2025年文旅局文旅融合发展经费绩效目标表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2025年文旅局文旅融合发展经费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通过丰富向海乐活节服务供给，举办少儿评剧节、春晚、滨海艺术节等品牌活动，强化文旅宣传，进一步提高滨城文旅知名度和美誉度。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1.通过调查研究、提高队伍业务素质、丰富向海乐活节服务供给、强化文旅宣传、进一步提高滨城文旅知名度和美誉度。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组织2025年滨海新区春节联欢会次数</w:t>
            </w:r>
          </w:p>
        </w:tc>
        <w:tc>
          <w:tcPr>
            <w:tcW w:w="3430" w:type="dxa"/>
            <w:vAlign w:val="center"/>
          </w:tcPr>
          <w:p>
            <w:pPr>
              <w:pStyle w:val="13"/>
            </w:pPr>
            <w:r>
              <w:t>组织2025年滨海新区春节联欢会次数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组织滨海新区少儿评剧节活动次数</w:t>
            </w:r>
          </w:p>
        </w:tc>
        <w:tc>
          <w:tcPr>
            <w:tcW w:w="3430" w:type="dxa"/>
            <w:vAlign w:val="center"/>
          </w:tcPr>
          <w:p>
            <w:pPr>
              <w:pStyle w:val="13"/>
            </w:pPr>
            <w:r>
              <w:t>组织滨海新区少儿评剧节活动次数</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组织滨海艺术节活动次数</w:t>
            </w:r>
          </w:p>
        </w:tc>
        <w:tc>
          <w:tcPr>
            <w:tcW w:w="3430" w:type="dxa"/>
            <w:vAlign w:val="center"/>
          </w:tcPr>
          <w:p>
            <w:pPr>
              <w:pStyle w:val="13"/>
            </w:pPr>
            <w:r>
              <w:t>组织滨海艺术节活动次数</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滨海新区少儿评剧节活动验收通过率</w:t>
            </w:r>
          </w:p>
        </w:tc>
        <w:tc>
          <w:tcPr>
            <w:tcW w:w="3430" w:type="dxa"/>
            <w:vAlign w:val="center"/>
          </w:tcPr>
          <w:p>
            <w:pPr>
              <w:pStyle w:val="13"/>
            </w:pPr>
            <w:r>
              <w:t>滨海新区少儿评剧节活动验收通过率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滨海艺术节活动验收通过率</w:t>
            </w:r>
          </w:p>
        </w:tc>
        <w:tc>
          <w:tcPr>
            <w:tcW w:w="3430" w:type="dxa"/>
            <w:vAlign w:val="center"/>
          </w:tcPr>
          <w:p>
            <w:pPr>
              <w:pStyle w:val="13"/>
            </w:pPr>
            <w:r>
              <w:t>滨海艺术节活动验收通过率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2025年滨海新区春节联欢会完成时限</w:t>
            </w:r>
          </w:p>
        </w:tc>
        <w:tc>
          <w:tcPr>
            <w:tcW w:w="3430" w:type="dxa"/>
            <w:vAlign w:val="center"/>
          </w:tcPr>
          <w:p>
            <w:pPr>
              <w:pStyle w:val="13"/>
            </w:pPr>
            <w:r>
              <w:t>2025年滨海新区春节联欢会完成时限</w:t>
            </w:r>
          </w:p>
        </w:tc>
        <w:tc>
          <w:tcPr>
            <w:tcW w:w="2551" w:type="dxa"/>
            <w:vAlign w:val="center"/>
          </w:tcPr>
          <w:p>
            <w:pPr>
              <w:pStyle w:val="13"/>
            </w:pPr>
            <w:r>
              <w:t>3月31日前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滨海新区少儿评剧节完成时限</w:t>
            </w:r>
          </w:p>
        </w:tc>
        <w:tc>
          <w:tcPr>
            <w:tcW w:w="3430" w:type="dxa"/>
            <w:vAlign w:val="center"/>
          </w:tcPr>
          <w:p>
            <w:pPr>
              <w:pStyle w:val="13"/>
            </w:pPr>
            <w:r>
              <w:t>滨海新区少儿评剧节完成时限</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滨海艺术节完成时限</w:t>
            </w:r>
          </w:p>
        </w:tc>
        <w:tc>
          <w:tcPr>
            <w:tcW w:w="3430" w:type="dxa"/>
            <w:vAlign w:val="center"/>
          </w:tcPr>
          <w:p>
            <w:pPr>
              <w:pStyle w:val="13"/>
            </w:pPr>
            <w:r>
              <w:t>滨海艺术节完成时限</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2025年滨海新区春节联欢会费用</w:t>
            </w:r>
          </w:p>
        </w:tc>
        <w:tc>
          <w:tcPr>
            <w:tcW w:w="3430" w:type="dxa"/>
            <w:vAlign w:val="center"/>
          </w:tcPr>
          <w:p>
            <w:pPr>
              <w:pStyle w:val="13"/>
            </w:pPr>
            <w:r>
              <w:t>2025年滨海新区春节联欢会费用</w:t>
            </w:r>
          </w:p>
        </w:tc>
        <w:tc>
          <w:tcPr>
            <w:tcW w:w="2551" w:type="dxa"/>
            <w:vAlign w:val="center"/>
          </w:tcPr>
          <w:p>
            <w:pPr>
              <w:pStyle w:val="13"/>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滨海新区少儿评剧节费用</w:t>
            </w:r>
          </w:p>
        </w:tc>
        <w:tc>
          <w:tcPr>
            <w:tcW w:w="3430" w:type="dxa"/>
            <w:vAlign w:val="center"/>
          </w:tcPr>
          <w:p>
            <w:pPr>
              <w:pStyle w:val="13"/>
            </w:pPr>
            <w:r>
              <w:t>滨海新区少儿评剧节费用</w:t>
            </w:r>
          </w:p>
        </w:tc>
        <w:tc>
          <w:tcPr>
            <w:tcW w:w="2551" w:type="dxa"/>
            <w:vAlign w:val="center"/>
          </w:tcPr>
          <w:p>
            <w:pPr>
              <w:pStyle w:val="13"/>
            </w:pPr>
            <w:r>
              <w:t>≤35万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滨海艺术节费用</w:t>
            </w:r>
          </w:p>
        </w:tc>
        <w:tc>
          <w:tcPr>
            <w:tcW w:w="3430" w:type="dxa"/>
            <w:vAlign w:val="center"/>
          </w:tcPr>
          <w:p>
            <w:pPr>
              <w:pStyle w:val="13"/>
            </w:pPr>
            <w:r>
              <w:t>滨海艺术节费用</w:t>
            </w:r>
          </w:p>
        </w:tc>
        <w:tc>
          <w:tcPr>
            <w:tcW w:w="2551" w:type="dxa"/>
            <w:vAlign w:val="center"/>
          </w:tcPr>
          <w:p>
            <w:pPr>
              <w:pStyle w:val="13"/>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发布资讯数</w:t>
            </w:r>
          </w:p>
        </w:tc>
        <w:tc>
          <w:tcPr>
            <w:tcW w:w="3430" w:type="dxa"/>
            <w:vAlign w:val="center"/>
          </w:tcPr>
          <w:p>
            <w:pPr>
              <w:pStyle w:val="13"/>
            </w:pPr>
            <w:r>
              <w:t>发布资讯数</w:t>
            </w:r>
          </w:p>
        </w:tc>
        <w:tc>
          <w:tcPr>
            <w:tcW w:w="2551" w:type="dxa"/>
            <w:vAlign w:val="center"/>
          </w:tcPr>
          <w:p>
            <w:pPr>
              <w:pStyle w:val="13"/>
            </w:pPr>
            <w:r>
              <w:t>≥1000条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文旅发布平台更新率</w:t>
            </w:r>
          </w:p>
        </w:tc>
        <w:tc>
          <w:tcPr>
            <w:tcW w:w="3430" w:type="dxa"/>
            <w:vAlign w:val="center"/>
          </w:tcPr>
          <w:p>
            <w:pPr>
              <w:pStyle w:val="13"/>
            </w:pPr>
            <w:r>
              <w:t>文旅发布平台更新率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文旅发布运维服务完成时间</w:t>
            </w:r>
          </w:p>
        </w:tc>
        <w:tc>
          <w:tcPr>
            <w:tcW w:w="3430" w:type="dxa"/>
            <w:vAlign w:val="center"/>
          </w:tcPr>
          <w:p>
            <w:pPr>
              <w:pStyle w:val="13"/>
            </w:pPr>
            <w:r>
              <w:t>文旅发布运维服务完成时间</w:t>
            </w:r>
          </w:p>
        </w:tc>
        <w:tc>
          <w:tcPr>
            <w:tcW w:w="2551" w:type="dxa"/>
            <w:vAlign w:val="center"/>
          </w:tcPr>
          <w:p>
            <w:pPr>
              <w:pStyle w:val="13"/>
            </w:pPr>
            <w:r>
              <w:t>2026年3月31日前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文旅发布营运成本/年</w:t>
            </w:r>
          </w:p>
          <w:p>
            <w:pPr>
              <w:pStyle w:val="13"/>
            </w:pPr>
          </w:p>
        </w:tc>
        <w:tc>
          <w:tcPr>
            <w:tcW w:w="3430" w:type="dxa"/>
            <w:vAlign w:val="center"/>
          </w:tcPr>
          <w:p>
            <w:pPr>
              <w:pStyle w:val="13"/>
            </w:pPr>
            <w:r>
              <w:t>文旅发布营运成本/年</w:t>
            </w:r>
          </w:p>
          <w:p>
            <w:pPr>
              <w:pStyle w:val="13"/>
            </w:pP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组织向海乐活节宣推活动次数</w:t>
            </w:r>
          </w:p>
        </w:tc>
        <w:tc>
          <w:tcPr>
            <w:tcW w:w="3430" w:type="dxa"/>
            <w:vAlign w:val="center"/>
          </w:tcPr>
          <w:p>
            <w:pPr>
              <w:pStyle w:val="13"/>
            </w:pPr>
            <w:r>
              <w:t>组织向海乐活节宣推活动次数</w:t>
            </w:r>
          </w:p>
        </w:tc>
        <w:tc>
          <w:tcPr>
            <w:tcW w:w="2551"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向海乐活节宣推活动好评率</w:t>
            </w:r>
          </w:p>
        </w:tc>
        <w:tc>
          <w:tcPr>
            <w:tcW w:w="3430" w:type="dxa"/>
            <w:vAlign w:val="center"/>
          </w:tcPr>
          <w:p>
            <w:pPr>
              <w:pStyle w:val="13"/>
            </w:pPr>
            <w:r>
              <w:t>向海乐活节宣推活动好评率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向海乐活节宣推费用</w:t>
            </w:r>
          </w:p>
        </w:tc>
        <w:tc>
          <w:tcPr>
            <w:tcW w:w="3430" w:type="dxa"/>
            <w:vAlign w:val="center"/>
          </w:tcPr>
          <w:p>
            <w:pPr>
              <w:pStyle w:val="13"/>
            </w:pPr>
            <w:r>
              <w:t>向海乐活节宣推费用</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向海乐活节宣推启动完成时限</w:t>
            </w:r>
          </w:p>
        </w:tc>
        <w:tc>
          <w:tcPr>
            <w:tcW w:w="3430" w:type="dxa"/>
            <w:vAlign w:val="center"/>
          </w:tcPr>
          <w:p>
            <w:pPr>
              <w:pStyle w:val="13"/>
            </w:pPr>
            <w:r>
              <w:t>向海乐活节宣推启动完成时限</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提高新区城市文化旅游知名度</w:t>
            </w:r>
          </w:p>
        </w:tc>
        <w:tc>
          <w:tcPr>
            <w:tcW w:w="3430" w:type="dxa"/>
            <w:vAlign w:val="center"/>
          </w:tcPr>
          <w:p>
            <w:pPr>
              <w:pStyle w:val="13"/>
            </w:pPr>
            <w:r>
              <w:t>提高新区城市文化旅游知名度</w:t>
            </w:r>
          </w:p>
        </w:tc>
        <w:tc>
          <w:tcPr>
            <w:tcW w:w="2551" w:type="dxa"/>
            <w:vAlign w:val="center"/>
          </w:tcPr>
          <w:p>
            <w:pPr>
              <w:pStyle w:val="13"/>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游客满意度</w:t>
            </w:r>
          </w:p>
        </w:tc>
        <w:tc>
          <w:tcPr>
            <w:tcW w:w="3430" w:type="dxa"/>
            <w:vAlign w:val="center"/>
          </w:tcPr>
          <w:p>
            <w:pPr>
              <w:pStyle w:val="13"/>
            </w:pPr>
            <w:r>
              <w:t>游客满意度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10.2025年文旅局文旅行业安全隐患整治及安全生产体系建设绩效目标表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2025年文旅局文旅行业安全隐患整治及安全生产体系建设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用于开展文旅系统行业企业开展安全隐患排查和整改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1.通过选择具备资质的单位为文旅系统行业企业开展安全隐患排查和整改，持续推进文旅行业安全生产秩序。期间开展全行业安全培训和制度完善，不断完善文旅行业安全管理体系。</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排查企业和单位数量</w:t>
            </w:r>
          </w:p>
        </w:tc>
        <w:tc>
          <w:tcPr>
            <w:tcW w:w="3430" w:type="dxa"/>
            <w:vAlign w:val="center"/>
          </w:tcPr>
          <w:p>
            <w:pPr>
              <w:pStyle w:val="13"/>
            </w:pPr>
            <w:r>
              <w:t>排查企业和单位数量</w:t>
            </w:r>
          </w:p>
        </w:tc>
        <w:tc>
          <w:tcPr>
            <w:tcW w:w="2551" w:type="dxa"/>
            <w:vAlign w:val="center"/>
          </w:tcPr>
          <w:p>
            <w:pPr>
              <w:pStyle w:val="13"/>
            </w:pPr>
            <w:r>
              <w:t>≥300家次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安全隐患排查整改率</w:t>
            </w:r>
          </w:p>
        </w:tc>
        <w:tc>
          <w:tcPr>
            <w:tcW w:w="3430" w:type="dxa"/>
            <w:vAlign w:val="center"/>
          </w:tcPr>
          <w:p>
            <w:pPr>
              <w:pStyle w:val="13"/>
            </w:pPr>
            <w:r>
              <w:t>安全隐患排查整改率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安全检查完成时限</w:t>
            </w:r>
          </w:p>
        </w:tc>
        <w:tc>
          <w:tcPr>
            <w:tcW w:w="3430" w:type="dxa"/>
            <w:vAlign w:val="center"/>
          </w:tcPr>
          <w:p>
            <w:pPr>
              <w:pStyle w:val="13"/>
            </w:pPr>
            <w:r>
              <w:t>安全检查完成时限</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每家企业平均安全检查成本</w:t>
            </w:r>
          </w:p>
        </w:tc>
        <w:tc>
          <w:tcPr>
            <w:tcW w:w="3430" w:type="dxa"/>
            <w:vAlign w:val="center"/>
          </w:tcPr>
          <w:p>
            <w:pPr>
              <w:pStyle w:val="13"/>
            </w:pPr>
            <w:r>
              <w:t>每家企业平均安全检查成本</w:t>
            </w:r>
          </w:p>
        </w:tc>
        <w:tc>
          <w:tcPr>
            <w:tcW w:w="2551" w:type="dxa"/>
            <w:vAlign w:val="center"/>
          </w:tcPr>
          <w:p>
            <w:pPr>
              <w:pStyle w:val="13"/>
            </w:pPr>
            <w:r>
              <w:t>≦1000元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提升文旅行业安全保障管理水平</w:t>
            </w:r>
          </w:p>
        </w:tc>
        <w:tc>
          <w:tcPr>
            <w:tcW w:w="3430" w:type="dxa"/>
            <w:vAlign w:val="center"/>
          </w:tcPr>
          <w:p>
            <w:pPr>
              <w:pStyle w:val="13"/>
            </w:pPr>
            <w:r>
              <w:t>提升文旅行业安全保障管理水平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提升文旅行业安全治理水平</w:t>
            </w:r>
          </w:p>
        </w:tc>
        <w:tc>
          <w:tcPr>
            <w:tcW w:w="3430" w:type="dxa"/>
            <w:vAlign w:val="center"/>
          </w:tcPr>
          <w:p>
            <w:pPr>
              <w:pStyle w:val="13"/>
            </w:pPr>
            <w:r>
              <w:t>提升文旅行业安全治理水平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行业企业满意度</w:t>
            </w:r>
          </w:p>
        </w:tc>
        <w:tc>
          <w:tcPr>
            <w:tcW w:w="3430" w:type="dxa"/>
            <w:vAlign w:val="center"/>
          </w:tcPr>
          <w:p>
            <w:pPr>
              <w:pStyle w:val="13"/>
            </w:pPr>
            <w:r>
              <w:t>行业企业满意度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11.天津市财政局关于调整下达2024年基层公共文化服务体系建设补助资金预算的通知（津财教指〔2024〕35号）-文旅局机关绩效目标表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天津市财政局关于调整下达2024年基层公共文化服务体系建设补助资金预算的通知（津财教指〔2024〕35号）-文旅局机关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41400.00</w:t>
            </w:r>
          </w:p>
        </w:tc>
        <w:tc>
          <w:tcPr>
            <w:tcW w:w="1587" w:type="dxa"/>
            <w:vAlign w:val="center"/>
          </w:tcPr>
          <w:p>
            <w:pPr>
              <w:pStyle w:val="14"/>
            </w:pPr>
            <w:r>
              <w:t>其中：财政    资金</w:t>
            </w:r>
          </w:p>
        </w:tc>
        <w:tc>
          <w:tcPr>
            <w:tcW w:w="1843" w:type="dxa"/>
            <w:vAlign w:val="center"/>
          </w:tcPr>
          <w:p>
            <w:pPr>
              <w:pStyle w:val="13"/>
            </w:pPr>
            <w:r>
              <w:t>41400.00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≥122个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≥309个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补贴完成时间</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补贴金额</w:t>
            </w:r>
          </w:p>
        </w:tc>
        <w:tc>
          <w:tcPr>
            <w:tcW w:w="3430" w:type="dxa"/>
            <w:vAlign w:val="center"/>
          </w:tcPr>
          <w:p>
            <w:pPr>
              <w:pStyle w:val="13"/>
            </w:pPr>
            <w:r>
              <w:t>补贴金额</w:t>
            </w:r>
          </w:p>
        </w:tc>
        <w:tc>
          <w:tcPr>
            <w:tcW w:w="2551" w:type="dxa"/>
            <w:vAlign w:val="center"/>
          </w:tcPr>
          <w:p>
            <w:pPr>
              <w:pStyle w:val="13"/>
            </w:pPr>
            <w:r>
              <w:t>≤4.14万元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12.天津市财政局关于提前下达2024年基层公共文化服务体系建设市级补助资金预算的通知（津财教指〔2023〕92号）-文旅局机关绩效目标表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天津市财政局关于提前下达2024年基层公共文化服务体系建设市级补助资金预算的通知（津财教指〔2023〕92号）-文旅局机关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w:t>
            </w:r>
          </w:p>
        </w:tc>
        <w:tc>
          <w:tcPr>
            <w:tcW w:w="1587" w:type="dxa"/>
            <w:vAlign w:val="center"/>
          </w:tcPr>
          <w:p>
            <w:pPr>
              <w:pStyle w:val="14"/>
            </w:pPr>
            <w:r>
              <w:t>其中：财政    资金</w:t>
            </w:r>
          </w:p>
        </w:tc>
        <w:tc>
          <w:tcPr>
            <w:tcW w:w="1843" w:type="dxa"/>
            <w:vAlign w:val="center"/>
          </w:tcPr>
          <w:p>
            <w:pPr>
              <w:pStyle w:val="13"/>
            </w:pPr>
            <w:r>
              <w:t>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≥122个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≥309个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补贴金额</w:t>
            </w:r>
          </w:p>
        </w:tc>
        <w:tc>
          <w:tcPr>
            <w:tcW w:w="3430" w:type="dxa"/>
            <w:vAlign w:val="center"/>
          </w:tcPr>
          <w:p>
            <w:pPr>
              <w:pStyle w:val="13"/>
            </w:pPr>
            <w:r>
              <w:t>补贴金额</w:t>
            </w:r>
          </w:p>
        </w:tc>
        <w:tc>
          <w:tcPr>
            <w:tcW w:w="2551" w:type="dxa"/>
            <w:vAlign w:val="center"/>
          </w:tcPr>
          <w:p>
            <w:pPr>
              <w:pStyle w:val="13"/>
            </w:pPr>
            <w:r>
              <w:t>≤800元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13.天津市财政局关于提前下达2024年中央支持地方公共文化服务体系建设补助资金预算的通知（津财教指〔2023﹞84号）-文旅局机关绩效目标表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天津市财政局关于提前下达2024年中央支持地方公共文化服务体系建设补助资金预算的通知（津财教指〔2023﹞84号）-文旅局机关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35240.00</w:t>
            </w:r>
          </w:p>
        </w:tc>
        <w:tc>
          <w:tcPr>
            <w:tcW w:w="1587" w:type="dxa"/>
            <w:vAlign w:val="center"/>
          </w:tcPr>
          <w:p>
            <w:pPr>
              <w:pStyle w:val="14"/>
            </w:pPr>
            <w:r>
              <w:t>其中：财政    资金</w:t>
            </w:r>
          </w:p>
        </w:tc>
        <w:tc>
          <w:tcPr>
            <w:tcW w:w="1843" w:type="dxa"/>
            <w:vAlign w:val="center"/>
          </w:tcPr>
          <w:p>
            <w:pPr>
              <w:pStyle w:val="13"/>
            </w:pPr>
            <w:r>
              <w:t>35240.00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≥122个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≥309个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补贴完成时间</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补贴金额</w:t>
            </w:r>
          </w:p>
        </w:tc>
        <w:tc>
          <w:tcPr>
            <w:tcW w:w="3430" w:type="dxa"/>
            <w:vAlign w:val="center"/>
          </w:tcPr>
          <w:p>
            <w:pPr>
              <w:pStyle w:val="13"/>
            </w:pPr>
            <w:r>
              <w:t>补贴金额</w:t>
            </w:r>
          </w:p>
        </w:tc>
        <w:tc>
          <w:tcPr>
            <w:tcW w:w="2551" w:type="dxa"/>
            <w:vAlign w:val="center"/>
          </w:tcPr>
          <w:p>
            <w:pPr>
              <w:pStyle w:val="13"/>
            </w:pPr>
            <w:r>
              <w:t>≤35240元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14.天津市财政局关于提前下达2025年公共图书馆、美术馆、文化馆（站）免费开放中央补助资金预算的通知（津财教指[2024]123号）绩效目标表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天津市财政局关于提前下达2025年公共图书馆、美术馆、文化馆（站）免费开放中央补助资金预算的通知（津财教指[2024]123号）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283500.00</w:t>
            </w:r>
          </w:p>
        </w:tc>
        <w:tc>
          <w:tcPr>
            <w:tcW w:w="1587" w:type="dxa"/>
            <w:vAlign w:val="center"/>
          </w:tcPr>
          <w:p>
            <w:pPr>
              <w:pStyle w:val="14"/>
            </w:pPr>
            <w:r>
              <w:t>其中：财政    资金</w:t>
            </w:r>
          </w:p>
        </w:tc>
        <w:tc>
          <w:tcPr>
            <w:tcW w:w="1843" w:type="dxa"/>
            <w:vAlign w:val="center"/>
          </w:tcPr>
          <w:p>
            <w:pPr>
              <w:pStyle w:val="13"/>
            </w:pPr>
            <w:r>
              <w:t>283500.00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用于保障文化站免费开放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1.通过保障各街镇文化站免费开放，用于各街镇组织公益性群众文化活动、举办公益性讲座和展览宣传，村、社区文化骨干辅导，业务活动用房小型修缮及零星业务设备，从而提高公共文化水平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街镇文化站周开放时间</w:t>
            </w:r>
          </w:p>
        </w:tc>
        <w:tc>
          <w:tcPr>
            <w:tcW w:w="3430" w:type="dxa"/>
            <w:vAlign w:val="center"/>
          </w:tcPr>
          <w:p>
            <w:pPr>
              <w:pStyle w:val="13"/>
            </w:pPr>
            <w:r>
              <w:t>街镇文化站周开放时间</w:t>
            </w:r>
          </w:p>
        </w:tc>
        <w:tc>
          <w:tcPr>
            <w:tcW w:w="2551" w:type="dxa"/>
            <w:vAlign w:val="center"/>
          </w:tcPr>
          <w:p>
            <w:pPr>
              <w:pStyle w:val="13"/>
            </w:pPr>
            <w:r>
              <w:t>≥42小时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每街镇每年举办活动数量</w:t>
            </w:r>
          </w:p>
        </w:tc>
        <w:tc>
          <w:tcPr>
            <w:tcW w:w="3430" w:type="dxa"/>
            <w:vAlign w:val="center"/>
          </w:tcPr>
          <w:p>
            <w:pPr>
              <w:pStyle w:val="13"/>
            </w:pPr>
            <w:r>
              <w:t>每街镇每年举办活动数量</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文化活动参与率</w:t>
            </w:r>
          </w:p>
        </w:tc>
        <w:tc>
          <w:tcPr>
            <w:tcW w:w="3430" w:type="dxa"/>
            <w:vAlign w:val="center"/>
          </w:tcPr>
          <w:p>
            <w:pPr>
              <w:pStyle w:val="13"/>
            </w:pPr>
            <w:r>
              <w:t>文化活动参与率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活动完成时间</w:t>
            </w:r>
          </w:p>
        </w:tc>
        <w:tc>
          <w:tcPr>
            <w:tcW w:w="3430" w:type="dxa"/>
            <w:vAlign w:val="center"/>
          </w:tcPr>
          <w:p>
            <w:pPr>
              <w:pStyle w:val="13"/>
            </w:pPr>
            <w:r>
              <w:t>活动完成时间</w:t>
            </w:r>
          </w:p>
        </w:tc>
        <w:tc>
          <w:tcPr>
            <w:tcW w:w="2551" w:type="dxa"/>
            <w:vAlign w:val="center"/>
          </w:tcPr>
          <w:p>
            <w:pPr>
              <w:pStyle w:val="13"/>
            </w:pPr>
            <w:r>
              <w:t>2025年年底前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w:t>
            </w:r>
          </w:p>
        </w:tc>
        <w:tc>
          <w:tcPr>
            <w:tcW w:w="3430" w:type="dxa"/>
            <w:vAlign w:val="center"/>
          </w:tcPr>
          <w:p>
            <w:pPr>
              <w:pStyle w:val="13"/>
            </w:pPr>
            <w:r>
              <w:t>每个街镇补贴标准</w:t>
            </w:r>
          </w:p>
        </w:tc>
        <w:tc>
          <w:tcPr>
            <w:tcW w:w="2551" w:type="dxa"/>
            <w:vAlign w:val="center"/>
          </w:tcPr>
          <w:p>
            <w:pPr>
              <w:pStyle w:val="13"/>
            </w:pPr>
            <w:r>
              <w:t>≤1.5万元/年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15.天津市财政局关于提前下达2025年基层公共文化服务体系建设市级补助资金预算的通知（津财教指﹝2024﹞122号绩效目标表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天津市财政局关于提前下达2025年基层公共文化服务体系建设市级补助资金预算的通知（津财教指﹝2024﹞122号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137000.00</w:t>
            </w:r>
          </w:p>
        </w:tc>
        <w:tc>
          <w:tcPr>
            <w:tcW w:w="1587" w:type="dxa"/>
            <w:vAlign w:val="center"/>
          </w:tcPr>
          <w:p>
            <w:pPr>
              <w:pStyle w:val="14"/>
            </w:pPr>
            <w:r>
              <w:t>其中：财政    资金</w:t>
            </w:r>
          </w:p>
        </w:tc>
        <w:tc>
          <w:tcPr>
            <w:tcW w:w="1843" w:type="dxa"/>
            <w:vAlign w:val="center"/>
          </w:tcPr>
          <w:p>
            <w:pPr>
              <w:pStyle w:val="13"/>
            </w:pPr>
            <w:r>
              <w:t>137000.00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用于补助基层公共文化服务体系建设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≥44个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全年工作完成时间</w:t>
            </w:r>
          </w:p>
        </w:tc>
        <w:tc>
          <w:tcPr>
            <w:tcW w:w="3430" w:type="dxa"/>
            <w:vAlign w:val="center"/>
          </w:tcPr>
          <w:p>
            <w:pPr>
              <w:pStyle w:val="13"/>
            </w:pPr>
            <w:r>
              <w:t>全年工作完成时间</w:t>
            </w:r>
          </w:p>
        </w:tc>
        <w:tc>
          <w:tcPr>
            <w:tcW w:w="2551" w:type="dxa"/>
            <w:vAlign w:val="center"/>
          </w:tcPr>
          <w:p>
            <w:pPr>
              <w:pStyle w:val="13"/>
            </w:pPr>
            <w:r>
              <w:t>2025年年底前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w:t>
            </w:r>
          </w:p>
        </w:tc>
        <w:tc>
          <w:tcPr>
            <w:tcW w:w="3430" w:type="dxa"/>
            <w:vAlign w:val="center"/>
          </w:tcPr>
          <w:p>
            <w:pPr>
              <w:pStyle w:val="13"/>
            </w:pPr>
            <w:r>
              <w:t>每个街镇补贴标准</w:t>
            </w:r>
          </w:p>
        </w:tc>
        <w:tc>
          <w:tcPr>
            <w:tcW w:w="2551" w:type="dxa"/>
            <w:vAlign w:val="center"/>
          </w:tcPr>
          <w:p>
            <w:pPr>
              <w:pStyle w:val="13"/>
            </w:pPr>
            <w:r>
              <w:t>≤10800元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每个村补贴标准</w:t>
            </w:r>
          </w:p>
        </w:tc>
        <w:tc>
          <w:tcPr>
            <w:tcW w:w="3430" w:type="dxa"/>
            <w:vAlign w:val="center"/>
          </w:tcPr>
          <w:p>
            <w:pPr>
              <w:pStyle w:val="13"/>
            </w:pPr>
            <w:r>
              <w:t>每个村补贴标准</w:t>
            </w:r>
          </w:p>
        </w:tc>
        <w:tc>
          <w:tcPr>
            <w:tcW w:w="2551" w:type="dxa"/>
            <w:vAlign w:val="center"/>
          </w:tcPr>
          <w:p>
            <w:pPr>
              <w:pStyle w:val="13"/>
            </w:pPr>
            <w:r>
              <w:t>≤2088元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每个社区补贴标准</w:t>
            </w:r>
          </w:p>
        </w:tc>
        <w:tc>
          <w:tcPr>
            <w:tcW w:w="3430" w:type="dxa"/>
            <w:vAlign w:val="center"/>
          </w:tcPr>
          <w:p>
            <w:pPr>
              <w:pStyle w:val="13"/>
            </w:pPr>
            <w:r>
              <w:t>每个社区补贴标准</w:t>
            </w:r>
          </w:p>
        </w:tc>
        <w:tc>
          <w:tcPr>
            <w:tcW w:w="2551" w:type="dxa"/>
            <w:vAlign w:val="center"/>
          </w:tcPr>
          <w:p>
            <w:pPr>
              <w:pStyle w:val="13"/>
            </w:pPr>
            <w:r>
              <w:t>≤1620元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16.天津市财政局关于提前下达2025年中央支持地方公共文化服务体系建设补助资金预算的通知（津财教指[2024]125号）绩效目标表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天津市财政局关于提前下达2025年中央支持地方公共文化服务体系建设补助资金预算的通知（津财教指[2024]125号）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917892.00</w:t>
            </w:r>
          </w:p>
        </w:tc>
        <w:tc>
          <w:tcPr>
            <w:tcW w:w="1587" w:type="dxa"/>
            <w:vAlign w:val="center"/>
          </w:tcPr>
          <w:p>
            <w:pPr>
              <w:pStyle w:val="14"/>
            </w:pPr>
            <w:r>
              <w:t>其中：财政    资金</w:t>
            </w:r>
          </w:p>
        </w:tc>
        <w:tc>
          <w:tcPr>
            <w:tcW w:w="1843" w:type="dxa"/>
            <w:vAlign w:val="center"/>
          </w:tcPr>
          <w:p>
            <w:pPr>
              <w:pStyle w:val="13"/>
            </w:pPr>
            <w:r>
              <w:t>917892.00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用于补助公共文化服务体系建设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≥19个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≥78个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≥306个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全年工作完成时间</w:t>
            </w:r>
          </w:p>
        </w:tc>
        <w:tc>
          <w:tcPr>
            <w:tcW w:w="3430" w:type="dxa"/>
            <w:vAlign w:val="center"/>
          </w:tcPr>
          <w:p>
            <w:pPr>
              <w:pStyle w:val="13"/>
            </w:pPr>
            <w:r>
              <w:t>全年工作完成时间</w:t>
            </w:r>
          </w:p>
        </w:tc>
        <w:tc>
          <w:tcPr>
            <w:tcW w:w="2551" w:type="dxa"/>
            <w:vAlign w:val="center"/>
          </w:tcPr>
          <w:p>
            <w:pPr>
              <w:pStyle w:val="13"/>
            </w:pPr>
            <w:r>
              <w:t>2025年年底前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w:t>
            </w:r>
          </w:p>
        </w:tc>
        <w:tc>
          <w:tcPr>
            <w:tcW w:w="3430" w:type="dxa"/>
            <w:vAlign w:val="center"/>
          </w:tcPr>
          <w:p>
            <w:pPr>
              <w:pStyle w:val="13"/>
            </w:pPr>
            <w:r>
              <w:t>每个街镇补贴标准</w:t>
            </w:r>
          </w:p>
        </w:tc>
        <w:tc>
          <w:tcPr>
            <w:tcW w:w="2551" w:type="dxa"/>
            <w:vAlign w:val="center"/>
          </w:tcPr>
          <w:p>
            <w:pPr>
              <w:pStyle w:val="13"/>
            </w:pPr>
            <w:r>
              <w:t>≤10800元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每个村补贴标准</w:t>
            </w:r>
          </w:p>
        </w:tc>
        <w:tc>
          <w:tcPr>
            <w:tcW w:w="3430" w:type="dxa"/>
            <w:vAlign w:val="center"/>
          </w:tcPr>
          <w:p>
            <w:pPr>
              <w:pStyle w:val="13"/>
            </w:pPr>
            <w:r>
              <w:t>每个村补贴标准</w:t>
            </w:r>
          </w:p>
        </w:tc>
        <w:tc>
          <w:tcPr>
            <w:tcW w:w="2551" w:type="dxa"/>
            <w:vAlign w:val="center"/>
          </w:tcPr>
          <w:p>
            <w:pPr>
              <w:pStyle w:val="13"/>
            </w:pPr>
            <w:r>
              <w:t>≤2088元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每个社区补贴标准</w:t>
            </w:r>
          </w:p>
        </w:tc>
        <w:tc>
          <w:tcPr>
            <w:tcW w:w="3430" w:type="dxa"/>
            <w:vAlign w:val="center"/>
          </w:tcPr>
          <w:p>
            <w:pPr>
              <w:pStyle w:val="13"/>
            </w:pPr>
            <w:r>
              <w:t>每个社区补贴标准</w:t>
            </w:r>
          </w:p>
        </w:tc>
        <w:tc>
          <w:tcPr>
            <w:tcW w:w="2551" w:type="dxa"/>
            <w:vAlign w:val="center"/>
          </w:tcPr>
          <w:p>
            <w:pPr>
              <w:pStyle w:val="13"/>
            </w:pPr>
            <w:r>
              <w:t>≤1620元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17.天津市财政局关于下达2024年中央支持地方公共文化服务体系建设补助资金预算的通知（津财教指[2024]32号）-文旅局绩效目标表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天津市财政局关于下达2024年中央支持地方公共文化服务体系建设补助资金预算的通知（津财教指[2024]32号）-文旅局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w:t>
            </w:r>
          </w:p>
        </w:tc>
        <w:tc>
          <w:tcPr>
            <w:tcW w:w="1587" w:type="dxa"/>
            <w:vAlign w:val="center"/>
          </w:tcPr>
          <w:p>
            <w:pPr>
              <w:pStyle w:val="14"/>
            </w:pPr>
            <w:r>
              <w:t>其中：财政    资金</w:t>
            </w:r>
          </w:p>
        </w:tc>
        <w:tc>
          <w:tcPr>
            <w:tcW w:w="1843" w:type="dxa"/>
            <w:vAlign w:val="center"/>
          </w:tcPr>
          <w:p>
            <w:pPr>
              <w:pStyle w:val="13"/>
            </w:pPr>
            <w:r>
              <w:t>7000.00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用于补助给各基层综合文化服务中心用于开展公共文化服务工作。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≥122个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≥309个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补贴完成时间</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补贴金额</w:t>
            </w:r>
          </w:p>
        </w:tc>
        <w:tc>
          <w:tcPr>
            <w:tcW w:w="3430" w:type="dxa"/>
            <w:vAlign w:val="center"/>
          </w:tcPr>
          <w:p>
            <w:pPr>
              <w:pStyle w:val="13"/>
            </w:pPr>
            <w:r>
              <w:t>补贴金额</w:t>
            </w:r>
          </w:p>
        </w:tc>
        <w:tc>
          <w:tcPr>
            <w:tcW w:w="2551" w:type="dxa"/>
            <w:vAlign w:val="center"/>
          </w:tcPr>
          <w:p>
            <w:pPr>
              <w:pStyle w:val="13"/>
            </w:pPr>
            <w:r>
              <w:t>≤0.7万元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18.2025年滨海新区图书馆运转费用绩效目标表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363201天津市滨海新区图书馆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2025年滨海新区图书馆运转费用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1940000.00</w:t>
            </w:r>
          </w:p>
        </w:tc>
        <w:tc>
          <w:tcPr>
            <w:tcW w:w="1587" w:type="dxa"/>
            <w:vAlign w:val="center"/>
          </w:tcPr>
          <w:p>
            <w:pPr>
              <w:pStyle w:val="14"/>
            </w:pPr>
            <w:r>
              <w:t>其中：财政    资金</w:t>
            </w:r>
          </w:p>
        </w:tc>
        <w:tc>
          <w:tcPr>
            <w:tcW w:w="1843" w:type="dxa"/>
            <w:vAlign w:val="center"/>
          </w:tcPr>
          <w:p>
            <w:pPr>
              <w:pStyle w:val="13"/>
            </w:pPr>
            <w:r>
              <w:t>1940000.00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图书馆运行运转费用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1.通过发放图书馆场馆运维补贴，提升读者阅读环境质量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补贴图书馆场馆数量</w:t>
            </w:r>
          </w:p>
        </w:tc>
        <w:tc>
          <w:tcPr>
            <w:tcW w:w="3430" w:type="dxa"/>
            <w:vAlign w:val="center"/>
          </w:tcPr>
          <w:p>
            <w:pPr>
              <w:pStyle w:val="13"/>
            </w:pPr>
            <w:r>
              <w:t>补贴图书馆场馆数量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运维服务达标率</w:t>
            </w:r>
          </w:p>
        </w:tc>
        <w:tc>
          <w:tcPr>
            <w:tcW w:w="3430" w:type="dxa"/>
            <w:vAlign w:val="center"/>
          </w:tcPr>
          <w:p>
            <w:pPr>
              <w:pStyle w:val="13"/>
            </w:pPr>
            <w:r>
              <w:t>运维服务达标率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场馆维护时效</w:t>
            </w:r>
          </w:p>
        </w:tc>
        <w:tc>
          <w:tcPr>
            <w:tcW w:w="3430" w:type="dxa"/>
            <w:vAlign w:val="center"/>
          </w:tcPr>
          <w:p>
            <w:pPr>
              <w:pStyle w:val="13"/>
            </w:pPr>
            <w:r>
              <w:t>场馆维护时效</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场馆运行成本</w:t>
            </w:r>
          </w:p>
        </w:tc>
        <w:tc>
          <w:tcPr>
            <w:tcW w:w="3430" w:type="dxa"/>
            <w:vAlign w:val="center"/>
          </w:tcPr>
          <w:p>
            <w:pPr>
              <w:pStyle w:val="13"/>
            </w:pPr>
            <w:r>
              <w:t>场馆运行成本</w:t>
            </w:r>
          </w:p>
        </w:tc>
        <w:tc>
          <w:tcPr>
            <w:tcW w:w="2551" w:type="dxa"/>
            <w:vAlign w:val="center"/>
          </w:tcPr>
          <w:p>
            <w:pPr>
              <w:pStyle w:val="13"/>
            </w:pPr>
            <w:r>
              <w:t>≤194万元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提升读者阅读环境质量</w:t>
            </w:r>
          </w:p>
        </w:tc>
        <w:tc>
          <w:tcPr>
            <w:tcW w:w="3430" w:type="dxa"/>
            <w:vAlign w:val="center"/>
          </w:tcPr>
          <w:p>
            <w:pPr>
              <w:pStyle w:val="13"/>
            </w:pPr>
            <w:r>
              <w:t>提升读者阅读环境质量</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读者满意度</w:t>
            </w:r>
          </w:p>
        </w:tc>
        <w:tc>
          <w:tcPr>
            <w:tcW w:w="3430" w:type="dxa"/>
            <w:vAlign w:val="center"/>
          </w:tcPr>
          <w:p>
            <w:pPr>
              <w:pStyle w:val="13"/>
            </w:pPr>
            <w:r>
              <w:t>读者满意度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19.2025年编制外长聘-机关事业单位辅助人员（教育文化室）绩效目标表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363201天津市滨海新区图书馆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2025年编制外长聘-机关事业单位辅助人员（教育文化室）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2304000.00</w:t>
            </w:r>
          </w:p>
        </w:tc>
        <w:tc>
          <w:tcPr>
            <w:tcW w:w="1587" w:type="dxa"/>
            <w:vAlign w:val="center"/>
          </w:tcPr>
          <w:p>
            <w:pPr>
              <w:pStyle w:val="14"/>
            </w:pPr>
            <w:r>
              <w:t>其中：财政    资金</w:t>
            </w:r>
          </w:p>
        </w:tc>
        <w:tc>
          <w:tcPr>
            <w:tcW w:w="1843" w:type="dxa"/>
            <w:vAlign w:val="center"/>
          </w:tcPr>
          <w:p>
            <w:pPr>
              <w:pStyle w:val="13"/>
            </w:pPr>
            <w:r>
              <w:t>2304000.00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≤7.68万元/年/人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20.2025年滨海新区图书馆区级免费开放绩效目标表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363201天津市滨海新区图书馆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2025年滨海新区图书馆区级免费开放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350000.00</w:t>
            </w:r>
          </w:p>
        </w:tc>
        <w:tc>
          <w:tcPr>
            <w:tcW w:w="1587" w:type="dxa"/>
            <w:vAlign w:val="center"/>
          </w:tcPr>
          <w:p>
            <w:pPr>
              <w:pStyle w:val="14"/>
            </w:pPr>
            <w:r>
              <w:t>其中：财政    资金</w:t>
            </w:r>
          </w:p>
        </w:tc>
        <w:tc>
          <w:tcPr>
            <w:tcW w:w="1843" w:type="dxa"/>
            <w:vAlign w:val="center"/>
          </w:tcPr>
          <w:p>
            <w:pPr>
              <w:pStyle w:val="13"/>
            </w:pPr>
            <w:r>
              <w:t>350000.00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用于图书馆免费对外开放所需资金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1.对免费开放的图书馆进行补助，保障2025年滨海新区图书馆基层公共文化服务开展，为新区读者提供优质文化服务，促进新区文化事业发展。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场馆开放数量</w:t>
            </w:r>
          </w:p>
        </w:tc>
        <w:tc>
          <w:tcPr>
            <w:tcW w:w="3430" w:type="dxa"/>
            <w:vAlign w:val="center"/>
          </w:tcPr>
          <w:p>
            <w:pPr>
              <w:pStyle w:val="13"/>
            </w:pPr>
            <w:r>
              <w:t>场馆开放数量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场馆正常开放率</w:t>
            </w:r>
          </w:p>
        </w:tc>
        <w:tc>
          <w:tcPr>
            <w:tcW w:w="3430" w:type="dxa"/>
            <w:vAlign w:val="center"/>
          </w:tcPr>
          <w:p>
            <w:pPr>
              <w:pStyle w:val="13"/>
            </w:pPr>
            <w:r>
              <w:t>场馆正常开放率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场馆开放天数</w:t>
            </w:r>
          </w:p>
        </w:tc>
        <w:tc>
          <w:tcPr>
            <w:tcW w:w="3430" w:type="dxa"/>
            <w:vAlign w:val="center"/>
          </w:tcPr>
          <w:p>
            <w:pPr>
              <w:pStyle w:val="13"/>
            </w:pPr>
            <w:r>
              <w:t>场馆开放天数</w:t>
            </w:r>
          </w:p>
        </w:tc>
        <w:tc>
          <w:tcPr>
            <w:tcW w:w="2551" w:type="dxa"/>
            <w:vAlign w:val="center"/>
          </w:tcPr>
          <w:p>
            <w:pPr>
              <w:pStyle w:val="13"/>
            </w:pPr>
            <w:r>
              <w:t>≥330天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各场馆平均开放成本</w:t>
            </w:r>
          </w:p>
        </w:tc>
        <w:tc>
          <w:tcPr>
            <w:tcW w:w="3430" w:type="dxa"/>
            <w:vAlign w:val="center"/>
          </w:tcPr>
          <w:p>
            <w:pPr>
              <w:pStyle w:val="13"/>
            </w:pPr>
            <w:r>
              <w:t>各场馆平均开放成本</w:t>
            </w:r>
          </w:p>
        </w:tc>
        <w:tc>
          <w:tcPr>
            <w:tcW w:w="2551" w:type="dxa"/>
            <w:vAlign w:val="center"/>
          </w:tcPr>
          <w:p>
            <w:pPr>
              <w:pStyle w:val="13"/>
            </w:pPr>
            <w:r>
              <w:t>≤7万元/个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全年读者进馆量</w:t>
            </w:r>
          </w:p>
        </w:tc>
        <w:tc>
          <w:tcPr>
            <w:tcW w:w="3430" w:type="dxa"/>
            <w:vAlign w:val="center"/>
          </w:tcPr>
          <w:p>
            <w:pPr>
              <w:pStyle w:val="13"/>
            </w:pPr>
            <w:r>
              <w:t>全年读者进馆量</w:t>
            </w:r>
          </w:p>
        </w:tc>
        <w:tc>
          <w:tcPr>
            <w:tcW w:w="2551" w:type="dxa"/>
            <w:vAlign w:val="center"/>
          </w:tcPr>
          <w:p>
            <w:pPr>
              <w:pStyle w:val="13"/>
            </w:pPr>
            <w:r>
              <w:t>≥100万人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促进新区文化事业发展</w:t>
            </w:r>
          </w:p>
        </w:tc>
        <w:tc>
          <w:tcPr>
            <w:tcW w:w="3430" w:type="dxa"/>
            <w:vAlign w:val="center"/>
          </w:tcPr>
          <w:p>
            <w:pPr>
              <w:pStyle w:val="13"/>
            </w:pPr>
            <w:r>
              <w:t>促进新区文化事业发展</w:t>
            </w:r>
          </w:p>
        </w:tc>
        <w:tc>
          <w:tcPr>
            <w:tcW w:w="2551" w:type="dxa"/>
            <w:vAlign w:val="center"/>
          </w:tcPr>
          <w:p>
            <w:pPr>
              <w:pStyle w:val="13"/>
            </w:pPr>
            <w:r>
              <w:t>显著促进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读者满意度</w:t>
            </w:r>
          </w:p>
        </w:tc>
        <w:tc>
          <w:tcPr>
            <w:tcW w:w="3430" w:type="dxa"/>
            <w:vAlign w:val="center"/>
          </w:tcPr>
          <w:p>
            <w:pPr>
              <w:pStyle w:val="13"/>
            </w:pPr>
            <w:r>
              <w:t>读者满意度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21.2025年滨海新区图书馆图书报刊采购项目绩效目标表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363201天津市滨海新区图书馆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2025年滨海新区图书馆图书报刊采购项目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用于图书馆图书报刊采购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1.开展图书馆图书报刊采购，丰富馆藏资源，满足滨城读者需求，提升图书馆影响力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覆盖馆区数量</w:t>
            </w:r>
          </w:p>
        </w:tc>
        <w:tc>
          <w:tcPr>
            <w:tcW w:w="3430" w:type="dxa"/>
            <w:vAlign w:val="center"/>
          </w:tcPr>
          <w:p>
            <w:pPr>
              <w:pStyle w:val="13"/>
            </w:pPr>
            <w:r>
              <w:t>覆盖馆区数量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采购图书报刊正版率</w:t>
            </w:r>
          </w:p>
        </w:tc>
        <w:tc>
          <w:tcPr>
            <w:tcW w:w="3430" w:type="dxa"/>
            <w:vAlign w:val="center"/>
          </w:tcPr>
          <w:p>
            <w:pPr>
              <w:pStyle w:val="13"/>
            </w:pPr>
            <w:r>
              <w:t>采购图书报刊正版率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图书报刊采购时效</w:t>
            </w:r>
          </w:p>
        </w:tc>
        <w:tc>
          <w:tcPr>
            <w:tcW w:w="3430" w:type="dxa"/>
            <w:vAlign w:val="center"/>
          </w:tcPr>
          <w:p>
            <w:pPr>
              <w:pStyle w:val="13"/>
            </w:pPr>
            <w:r>
              <w:t>图书报刊采购时效</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图书报刊采购成本 </w:t>
            </w:r>
          </w:p>
        </w:tc>
        <w:tc>
          <w:tcPr>
            <w:tcW w:w="3430" w:type="dxa"/>
            <w:vAlign w:val="center"/>
          </w:tcPr>
          <w:p>
            <w:pPr>
              <w:pStyle w:val="13"/>
            </w:pPr>
            <w:r>
              <w:t xml:space="preserve">图书报刊采购成本 </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读者阅读兴趣</w:t>
            </w:r>
          </w:p>
        </w:tc>
        <w:tc>
          <w:tcPr>
            <w:tcW w:w="3430" w:type="dxa"/>
            <w:vAlign w:val="center"/>
          </w:tcPr>
          <w:p>
            <w:pPr>
              <w:pStyle w:val="13"/>
            </w:pPr>
            <w:r>
              <w:t>读者阅读兴趣</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读者满意度</w:t>
            </w:r>
          </w:p>
        </w:tc>
        <w:tc>
          <w:tcPr>
            <w:tcW w:w="3430" w:type="dxa"/>
            <w:vAlign w:val="center"/>
          </w:tcPr>
          <w:p>
            <w:pPr>
              <w:pStyle w:val="13"/>
            </w:pPr>
            <w:r>
              <w:t>读者满意度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22.2025年滨海新区图书馆文化中心物业能源费绩效目标表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363201天津市滨海新区图书馆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2025年滨海新区图书馆文化中心物业能源费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11000000.00</w:t>
            </w:r>
          </w:p>
        </w:tc>
        <w:tc>
          <w:tcPr>
            <w:tcW w:w="1587" w:type="dxa"/>
            <w:vAlign w:val="center"/>
          </w:tcPr>
          <w:p>
            <w:pPr>
              <w:pStyle w:val="14"/>
            </w:pPr>
            <w:r>
              <w:t>其中：财政    资金</w:t>
            </w:r>
          </w:p>
        </w:tc>
        <w:tc>
          <w:tcPr>
            <w:tcW w:w="1843" w:type="dxa"/>
            <w:vAlign w:val="center"/>
          </w:tcPr>
          <w:p>
            <w:pPr>
              <w:pStyle w:val="13"/>
            </w:pPr>
            <w:r>
              <w:t>11000000.00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用于图书馆文化中心物业能源费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1.租赁滨海新图书馆文化中心场馆，滨海新区图书馆场馆正常运营得到了保障，滨海新区人民群众文化需求得到保障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租赁房屋面积</w:t>
            </w:r>
          </w:p>
        </w:tc>
        <w:tc>
          <w:tcPr>
            <w:tcW w:w="3430" w:type="dxa"/>
            <w:vAlign w:val="center"/>
          </w:tcPr>
          <w:p>
            <w:pPr>
              <w:pStyle w:val="13"/>
            </w:pPr>
            <w:r>
              <w:t>租赁房屋面积</w:t>
            </w:r>
          </w:p>
        </w:tc>
        <w:tc>
          <w:tcPr>
            <w:tcW w:w="2551" w:type="dxa"/>
            <w:vAlign w:val="center"/>
          </w:tcPr>
          <w:p>
            <w:pPr>
              <w:pStyle w:val="13"/>
              <w:rPr>
                <w:rFonts w:hint="eastAsia" w:eastAsia="方正书宋_GBK"/>
                <w:lang w:val="en-US" w:eastAsia="zh-CN"/>
              </w:rPr>
            </w:pPr>
            <w:r>
              <w:t>39338</w:t>
            </w:r>
            <w:r>
              <w:rPr>
                <w:rFonts w:hint="eastAsia"/>
                <w:lang w:eastAsia="zh-CN"/>
              </w:rPr>
              <w:t>平方米</w:t>
            </w:r>
            <w:bookmarkStart w:id="47" w:name="_GoBack"/>
            <w:bookmarkEnd w:id="4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房屋安全检查水平达标率</w:t>
            </w:r>
          </w:p>
        </w:tc>
        <w:tc>
          <w:tcPr>
            <w:tcW w:w="3430" w:type="dxa"/>
            <w:vAlign w:val="center"/>
          </w:tcPr>
          <w:p>
            <w:pPr>
              <w:pStyle w:val="13"/>
            </w:pPr>
            <w:r>
              <w:t>房屋安全检查水平达标率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场馆故障维修响应时间</w:t>
            </w:r>
          </w:p>
        </w:tc>
        <w:tc>
          <w:tcPr>
            <w:tcW w:w="3430" w:type="dxa"/>
            <w:vAlign w:val="center"/>
          </w:tcPr>
          <w:p>
            <w:pPr>
              <w:pStyle w:val="13"/>
            </w:pPr>
            <w:r>
              <w:t>场馆故障维修响应时间</w:t>
            </w:r>
          </w:p>
        </w:tc>
        <w:tc>
          <w:tcPr>
            <w:tcW w:w="2551" w:type="dxa"/>
            <w:vAlign w:val="center"/>
          </w:tcPr>
          <w:p>
            <w:pPr>
              <w:pStyle w:val="13"/>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租赁成本</w:t>
            </w:r>
          </w:p>
        </w:tc>
        <w:tc>
          <w:tcPr>
            <w:tcW w:w="3430" w:type="dxa"/>
            <w:vAlign w:val="center"/>
          </w:tcPr>
          <w:p>
            <w:pPr>
              <w:pStyle w:val="13"/>
            </w:pPr>
            <w:r>
              <w:t>租赁成本</w:t>
            </w:r>
          </w:p>
        </w:tc>
        <w:tc>
          <w:tcPr>
            <w:tcW w:w="2551" w:type="dxa"/>
            <w:vAlign w:val="center"/>
          </w:tcPr>
          <w:p>
            <w:pPr>
              <w:pStyle w:val="13"/>
            </w:pPr>
            <w:r>
              <w:t>≤1100万元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公共文化场馆有序开放率</w:t>
            </w:r>
          </w:p>
        </w:tc>
        <w:tc>
          <w:tcPr>
            <w:tcW w:w="3430" w:type="dxa"/>
            <w:vAlign w:val="center"/>
          </w:tcPr>
          <w:p>
            <w:pPr>
              <w:pStyle w:val="13"/>
            </w:pPr>
            <w:r>
              <w:t>公共文化场馆有序开放率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读者满意度</w:t>
            </w:r>
          </w:p>
        </w:tc>
        <w:tc>
          <w:tcPr>
            <w:tcW w:w="3430" w:type="dxa"/>
            <w:vAlign w:val="center"/>
          </w:tcPr>
          <w:p>
            <w:pPr>
              <w:pStyle w:val="13"/>
            </w:pPr>
            <w:r>
              <w:t>读者满意度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23.天津市财政局关于提前下达公共图书馆、美术馆、文化馆（站）免费开放中央补助资金预算的通知（津财教指[2024]123号）绩效目标表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363201天津市滨海新区图书馆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天津市财政局关于提前下达公共图书馆、美术馆、文化馆（站）免费开放中央补助资金预算的通知（津财教指[2024]123号）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135000.00</w:t>
            </w:r>
          </w:p>
        </w:tc>
        <w:tc>
          <w:tcPr>
            <w:tcW w:w="1587" w:type="dxa"/>
            <w:vAlign w:val="center"/>
          </w:tcPr>
          <w:p>
            <w:pPr>
              <w:pStyle w:val="14"/>
            </w:pPr>
            <w:r>
              <w:t>其中：财政    资金</w:t>
            </w:r>
          </w:p>
        </w:tc>
        <w:tc>
          <w:tcPr>
            <w:tcW w:w="1843" w:type="dxa"/>
            <w:vAlign w:val="center"/>
          </w:tcPr>
          <w:p>
            <w:pPr>
              <w:pStyle w:val="13"/>
            </w:pPr>
            <w:r>
              <w:t>135000.00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用于图书馆免费开放场馆所需资金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1.对免费开放的图书馆进行补助，保障2025年滨海新区图书馆基层公共文化服务开展，为新区读者提供优质文化服务，促进新区文化事业发展。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场馆开放数量</w:t>
            </w:r>
          </w:p>
        </w:tc>
        <w:tc>
          <w:tcPr>
            <w:tcW w:w="3430" w:type="dxa"/>
            <w:vAlign w:val="center"/>
          </w:tcPr>
          <w:p>
            <w:pPr>
              <w:pStyle w:val="13"/>
            </w:pPr>
            <w:r>
              <w:t>场馆开放数量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场馆开放率</w:t>
            </w:r>
          </w:p>
        </w:tc>
        <w:tc>
          <w:tcPr>
            <w:tcW w:w="3430" w:type="dxa"/>
            <w:vAlign w:val="center"/>
          </w:tcPr>
          <w:p>
            <w:pPr>
              <w:pStyle w:val="13"/>
            </w:pPr>
            <w:r>
              <w:t>场馆开放率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场馆年开放时长</w:t>
            </w:r>
          </w:p>
        </w:tc>
        <w:tc>
          <w:tcPr>
            <w:tcW w:w="3430" w:type="dxa"/>
            <w:vAlign w:val="center"/>
          </w:tcPr>
          <w:p>
            <w:pPr>
              <w:pStyle w:val="13"/>
            </w:pPr>
            <w:r>
              <w:t>场馆年开放时长</w:t>
            </w:r>
          </w:p>
        </w:tc>
        <w:tc>
          <w:tcPr>
            <w:tcW w:w="2551" w:type="dxa"/>
            <w:vAlign w:val="center"/>
          </w:tcPr>
          <w:p>
            <w:pPr>
              <w:pStyle w:val="13"/>
            </w:pPr>
            <w:r>
              <w:t>≥330天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免费开放成本</w:t>
            </w:r>
          </w:p>
        </w:tc>
        <w:tc>
          <w:tcPr>
            <w:tcW w:w="3430" w:type="dxa"/>
            <w:vAlign w:val="center"/>
          </w:tcPr>
          <w:p>
            <w:pPr>
              <w:pStyle w:val="13"/>
            </w:pPr>
            <w:r>
              <w:t>免费开放成本</w:t>
            </w:r>
          </w:p>
        </w:tc>
        <w:tc>
          <w:tcPr>
            <w:tcW w:w="2551" w:type="dxa"/>
            <w:vAlign w:val="center"/>
          </w:tcPr>
          <w:p>
            <w:pPr>
              <w:pStyle w:val="13"/>
            </w:pPr>
            <w:r>
              <w:t>≤13.5万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辖区居民文化幸福感</w:t>
            </w:r>
          </w:p>
        </w:tc>
        <w:tc>
          <w:tcPr>
            <w:tcW w:w="3430" w:type="dxa"/>
            <w:vAlign w:val="center"/>
          </w:tcPr>
          <w:p>
            <w:pPr>
              <w:pStyle w:val="13"/>
            </w:pPr>
            <w:r>
              <w:t>辖区居民文化幸福感</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读者满意度</w:t>
            </w:r>
          </w:p>
        </w:tc>
        <w:tc>
          <w:tcPr>
            <w:tcW w:w="3430" w:type="dxa"/>
            <w:vAlign w:val="center"/>
          </w:tcPr>
          <w:p>
            <w:pPr>
              <w:pStyle w:val="13"/>
            </w:pPr>
            <w:r>
              <w:t>读者满意度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24.天津市财政局关于提前下达中央支持地方公共文化服务体系建设补助资金预算的通知（津财教指[2024]125号）绩效目标表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363201天津市滨海新区图书馆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天津市财政局关于提前下达中央支持地方公共文化服务体系建设补助资金预算的通知（津财教指[2024]125号）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3205000.00</w:t>
            </w:r>
          </w:p>
        </w:tc>
        <w:tc>
          <w:tcPr>
            <w:tcW w:w="1587" w:type="dxa"/>
            <w:vAlign w:val="center"/>
          </w:tcPr>
          <w:p>
            <w:pPr>
              <w:pStyle w:val="14"/>
            </w:pPr>
            <w:r>
              <w:t>其中：财政    资金</w:t>
            </w:r>
          </w:p>
        </w:tc>
        <w:tc>
          <w:tcPr>
            <w:tcW w:w="1843" w:type="dxa"/>
            <w:vAlign w:val="center"/>
          </w:tcPr>
          <w:p>
            <w:pPr>
              <w:pStyle w:val="13"/>
            </w:pPr>
            <w:r>
              <w:t>3205000.00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1.用于图书馆中文期刊采购，满足滨城读者阅读看报，接收新消息的基本需求</w:t>
            </w:r>
          </w:p>
          <w:p>
            <w:pPr>
              <w:pStyle w:val="13"/>
            </w:pPr>
            <w:r>
              <w:t>2.用于图书馆少儿馆区对外开放所需社会化资源，保障少儿馆区正常对外开放</w:t>
            </w:r>
          </w:p>
          <w:p>
            <w:pPr>
              <w:pStyle w:val="13"/>
            </w:pPr>
            <w:r>
              <w:t>3.用于图书馆所需网络宽带需求，实现图书馆通借通还，为读者提供互联网服务</w:t>
            </w:r>
          </w:p>
          <w:p>
            <w:pPr>
              <w:pStyle w:val="13"/>
            </w:pPr>
            <w:r>
              <w:t>4.用于图书服务流动项目，通过深入服务点为群众提供流动图书服务和阅读推广活动，推动全民阅读。</w:t>
            </w:r>
          </w:p>
          <w:p>
            <w:pPr>
              <w:pStyle w:val="13"/>
            </w:pPr>
            <w:r>
              <w:t>5.通过建设“新空间”，提升公共文化新空间数量、规模，开展系列全民阅读活动，进而提升公共文化服务效能，焕发公共文化服务赋能社会发展的新动能。</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期刊覆盖馆区数</w:t>
            </w:r>
          </w:p>
        </w:tc>
        <w:tc>
          <w:tcPr>
            <w:tcW w:w="3430" w:type="dxa"/>
            <w:vAlign w:val="center"/>
          </w:tcPr>
          <w:p>
            <w:pPr>
              <w:pStyle w:val="13"/>
            </w:pPr>
            <w:r>
              <w:t>期刊覆盖馆区数</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正规出版率</w:t>
            </w:r>
          </w:p>
        </w:tc>
        <w:tc>
          <w:tcPr>
            <w:tcW w:w="3430" w:type="dxa"/>
            <w:vAlign w:val="center"/>
          </w:tcPr>
          <w:p>
            <w:pPr>
              <w:pStyle w:val="13"/>
            </w:pPr>
            <w:r>
              <w:t>正规出版率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配送时效</w:t>
            </w:r>
          </w:p>
        </w:tc>
        <w:tc>
          <w:tcPr>
            <w:tcW w:w="3430" w:type="dxa"/>
            <w:vAlign w:val="center"/>
          </w:tcPr>
          <w:p>
            <w:pPr>
              <w:pStyle w:val="13"/>
            </w:pPr>
            <w:r>
              <w:t>配送时效</w:t>
            </w:r>
          </w:p>
        </w:tc>
        <w:tc>
          <w:tcPr>
            <w:tcW w:w="2551" w:type="dxa"/>
            <w:vAlign w:val="center"/>
          </w:tcPr>
          <w:p>
            <w:pPr>
              <w:pStyle w:val="13"/>
            </w:pPr>
            <w:r>
              <w:t>每日配送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期刊采购成本</w:t>
            </w:r>
          </w:p>
        </w:tc>
        <w:tc>
          <w:tcPr>
            <w:tcW w:w="3430" w:type="dxa"/>
            <w:vAlign w:val="center"/>
          </w:tcPr>
          <w:p>
            <w:pPr>
              <w:pStyle w:val="13"/>
            </w:pPr>
            <w:r>
              <w:t>期刊采购成本</w:t>
            </w:r>
          </w:p>
        </w:tc>
        <w:tc>
          <w:tcPr>
            <w:tcW w:w="2551" w:type="dxa"/>
            <w:vAlign w:val="center"/>
          </w:tcPr>
          <w:p>
            <w:pPr>
              <w:pStyle w:val="13"/>
            </w:pPr>
            <w:r>
              <w:t>≤17.1万元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少儿馆区展览次数</w:t>
            </w:r>
          </w:p>
        </w:tc>
        <w:tc>
          <w:tcPr>
            <w:tcW w:w="3430" w:type="dxa"/>
            <w:vAlign w:val="center"/>
          </w:tcPr>
          <w:p>
            <w:pPr>
              <w:pStyle w:val="13"/>
            </w:pPr>
            <w:r>
              <w:t>少儿馆区展览次数</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少儿馆区每周开馆时长</w:t>
            </w:r>
          </w:p>
        </w:tc>
        <w:tc>
          <w:tcPr>
            <w:tcW w:w="3430" w:type="dxa"/>
            <w:vAlign w:val="center"/>
          </w:tcPr>
          <w:p>
            <w:pPr>
              <w:pStyle w:val="13"/>
            </w:pPr>
            <w:r>
              <w:t>少儿馆区每周开馆时长</w:t>
            </w:r>
          </w:p>
        </w:tc>
        <w:tc>
          <w:tcPr>
            <w:tcW w:w="2551" w:type="dxa"/>
            <w:vAlign w:val="center"/>
          </w:tcPr>
          <w:p>
            <w:pPr>
              <w:pStyle w:val="13"/>
            </w:pPr>
            <w:r>
              <w:t>≥56小时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少儿馆区社会化运行成本</w:t>
            </w:r>
          </w:p>
        </w:tc>
        <w:tc>
          <w:tcPr>
            <w:tcW w:w="3430" w:type="dxa"/>
            <w:vAlign w:val="center"/>
          </w:tcPr>
          <w:p>
            <w:pPr>
              <w:pStyle w:val="13"/>
            </w:pPr>
            <w:r>
              <w:t>少儿馆区社会化运行成本</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互联网专线数</w:t>
            </w:r>
          </w:p>
        </w:tc>
        <w:tc>
          <w:tcPr>
            <w:tcW w:w="3430" w:type="dxa"/>
            <w:vAlign w:val="center"/>
          </w:tcPr>
          <w:p>
            <w:pPr>
              <w:pStyle w:val="13"/>
            </w:pPr>
            <w:r>
              <w:t>互联网专线数</w:t>
            </w:r>
          </w:p>
        </w:tc>
        <w:tc>
          <w:tcPr>
            <w:tcW w:w="2551" w:type="dxa"/>
            <w:vAlign w:val="center"/>
          </w:tcPr>
          <w:p>
            <w:pPr>
              <w:pStyle w:val="13"/>
            </w:pPr>
            <w:r>
              <w:t>≥5条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互联网专线稳定服务率</w:t>
            </w:r>
          </w:p>
        </w:tc>
        <w:tc>
          <w:tcPr>
            <w:tcW w:w="3430" w:type="dxa"/>
            <w:vAlign w:val="center"/>
          </w:tcPr>
          <w:p>
            <w:pPr>
              <w:pStyle w:val="13"/>
            </w:pPr>
            <w:r>
              <w:t>互联网专线稳定服务率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网络故障响应时长</w:t>
            </w:r>
          </w:p>
        </w:tc>
        <w:tc>
          <w:tcPr>
            <w:tcW w:w="3430" w:type="dxa"/>
            <w:vAlign w:val="center"/>
          </w:tcPr>
          <w:p>
            <w:pPr>
              <w:pStyle w:val="13"/>
            </w:pPr>
            <w:r>
              <w:t>网络故障响应时长</w:t>
            </w:r>
          </w:p>
        </w:tc>
        <w:tc>
          <w:tcPr>
            <w:tcW w:w="2551" w:type="dxa"/>
            <w:vAlign w:val="center"/>
          </w:tcPr>
          <w:p>
            <w:pPr>
              <w:pStyle w:val="13"/>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网络宽带使用成本</w:t>
            </w:r>
          </w:p>
        </w:tc>
        <w:tc>
          <w:tcPr>
            <w:tcW w:w="3430" w:type="dxa"/>
            <w:vAlign w:val="center"/>
          </w:tcPr>
          <w:p>
            <w:pPr>
              <w:pStyle w:val="13"/>
            </w:pPr>
            <w:r>
              <w:t>网络宽带使用成本</w:t>
            </w:r>
          </w:p>
        </w:tc>
        <w:tc>
          <w:tcPr>
            <w:tcW w:w="2551" w:type="dxa"/>
            <w:vAlign w:val="center"/>
          </w:tcPr>
          <w:p>
            <w:pPr>
              <w:pStyle w:val="13"/>
            </w:pPr>
            <w:r>
              <w:t>≤105万元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提供图书流动服务次数</w:t>
            </w:r>
          </w:p>
        </w:tc>
        <w:tc>
          <w:tcPr>
            <w:tcW w:w="3430" w:type="dxa"/>
            <w:vAlign w:val="center"/>
          </w:tcPr>
          <w:p>
            <w:pPr>
              <w:pStyle w:val="13"/>
            </w:pPr>
            <w:r>
              <w:t>提供图书流动服务次数</w:t>
            </w:r>
          </w:p>
        </w:tc>
        <w:tc>
          <w:tcPr>
            <w:tcW w:w="2551" w:type="dxa"/>
            <w:vAlign w:val="center"/>
          </w:tcPr>
          <w:p>
            <w:pPr>
              <w:pStyle w:val="13"/>
            </w:pPr>
            <w:r>
              <w:t>≥300次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流动服务下达服务点覆盖率</w:t>
            </w:r>
          </w:p>
        </w:tc>
        <w:tc>
          <w:tcPr>
            <w:tcW w:w="3430" w:type="dxa"/>
            <w:vAlign w:val="center"/>
          </w:tcPr>
          <w:p>
            <w:pPr>
              <w:pStyle w:val="13"/>
            </w:pPr>
            <w:r>
              <w:t>流动服务下达服务点覆盖率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单次流动服务时长</w:t>
            </w:r>
          </w:p>
        </w:tc>
        <w:tc>
          <w:tcPr>
            <w:tcW w:w="3430" w:type="dxa"/>
            <w:vAlign w:val="center"/>
          </w:tcPr>
          <w:p>
            <w:pPr>
              <w:pStyle w:val="13"/>
            </w:pPr>
            <w:r>
              <w:t>单次流动服务时长</w:t>
            </w:r>
          </w:p>
        </w:tc>
        <w:tc>
          <w:tcPr>
            <w:tcW w:w="2551" w:type="dxa"/>
            <w:vAlign w:val="center"/>
          </w:tcPr>
          <w:p>
            <w:pPr>
              <w:pStyle w:val="13"/>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图书流动服务成本</w:t>
            </w:r>
          </w:p>
        </w:tc>
        <w:tc>
          <w:tcPr>
            <w:tcW w:w="3430" w:type="dxa"/>
            <w:vAlign w:val="center"/>
          </w:tcPr>
          <w:p>
            <w:pPr>
              <w:pStyle w:val="13"/>
            </w:pPr>
            <w:r>
              <w:t>图书流动服务成本</w:t>
            </w:r>
          </w:p>
        </w:tc>
        <w:tc>
          <w:tcPr>
            <w:tcW w:w="2551" w:type="dxa"/>
            <w:vAlign w:val="center"/>
          </w:tcPr>
          <w:p>
            <w:pPr>
              <w:pStyle w:val="13"/>
            </w:pPr>
            <w:r>
              <w:t>≤50万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提升空间数量</w:t>
            </w:r>
          </w:p>
        </w:tc>
        <w:tc>
          <w:tcPr>
            <w:tcW w:w="3430" w:type="dxa"/>
            <w:vAlign w:val="center"/>
          </w:tcPr>
          <w:p>
            <w:pPr>
              <w:pStyle w:val="13"/>
            </w:pPr>
            <w:r>
              <w:t>提升空间数量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布展验收合格率</w:t>
            </w:r>
          </w:p>
        </w:tc>
        <w:tc>
          <w:tcPr>
            <w:tcW w:w="3430" w:type="dxa"/>
            <w:vAlign w:val="center"/>
          </w:tcPr>
          <w:p>
            <w:pPr>
              <w:pStyle w:val="13"/>
            </w:pPr>
            <w:r>
              <w:t>布展验收合格率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空间提升完成时间</w:t>
            </w:r>
          </w:p>
        </w:tc>
        <w:tc>
          <w:tcPr>
            <w:tcW w:w="3430" w:type="dxa"/>
            <w:vAlign w:val="center"/>
          </w:tcPr>
          <w:p>
            <w:pPr>
              <w:pStyle w:val="13"/>
            </w:pPr>
            <w:r>
              <w:t>空间提升完成时间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空间提升成本</w:t>
            </w:r>
          </w:p>
        </w:tc>
        <w:tc>
          <w:tcPr>
            <w:tcW w:w="3430" w:type="dxa"/>
            <w:vAlign w:val="center"/>
          </w:tcPr>
          <w:p>
            <w:pPr>
              <w:pStyle w:val="13"/>
            </w:pPr>
            <w:r>
              <w:t>空间提升成本</w:t>
            </w:r>
          </w:p>
        </w:tc>
        <w:tc>
          <w:tcPr>
            <w:tcW w:w="2551" w:type="dxa"/>
            <w:vAlign w:val="center"/>
          </w:tcPr>
          <w:p>
            <w:pPr>
              <w:pStyle w:val="13"/>
            </w:pPr>
            <w:r>
              <w:t>≤48.4万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提高公共文化服务水平</w:t>
            </w:r>
          </w:p>
        </w:tc>
        <w:tc>
          <w:tcPr>
            <w:tcW w:w="3430" w:type="dxa"/>
            <w:vAlign w:val="center"/>
          </w:tcPr>
          <w:p>
            <w:pPr>
              <w:pStyle w:val="13"/>
            </w:pPr>
            <w:r>
              <w:t>提高公共文化服务水平</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读者满意度</w:t>
            </w:r>
          </w:p>
        </w:tc>
        <w:tc>
          <w:tcPr>
            <w:tcW w:w="3430" w:type="dxa"/>
            <w:vAlign w:val="center"/>
          </w:tcPr>
          <w:p>
            <w:pPr>
              <w:pStyle w:val="13"/>
            </w:pPr>
            <w:r>
              <w:t>读者满意度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25.2025年滨海新区文化馆文化中心物业能源费绩效目标表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363202天津市滨海新区文化馆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2025年滨海新区文化馆文化中心物业能源费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9000000.00</w:t>
            </w:r>
          </w:p>
        </w:tc>
        <w:tc>
          <w:tcPr>
            <w:tcW w:w="1587" w:type="dxa"/>
            <w:vAlign w:val="center"/>
          </w:tcPr>
          <w:p>
            <w:pPr>
              <w:pStyle w:val="14"/>
            </w:pPr>
            <w:r>
              <w:t>其中：财政    资金</w:t>
            </w:r>
          </w:p>
        </w:tc>
        <w:tc>
          <w:tcPr>
            <w:tcW w:w="1843" w:type="dxa"/>
            <w:vAlign w:val="center"/>
          </w:tcPr>
          <w:p>
            <w:pPr>
              <w:pStyle w:val="13"/>
            </w:pPr>
            <w:r>
              <w:t>9000000.00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通过使用2025年度文化中心租赁费用，租赁滨海新区文化馆中心场馆，保障滨海新区文化馆（美术馆）场馆正常运营，为开展形式多样的文化活动、建立新区良好的文化氛围提供保障。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1.通过使用2025年度文化中心租赁费用，租赁滨海新区文化馆中心场馆，保障滨海新区文化馆（美术馆）场馆正常运营，为开展形式多样的文化活动、建立新区良好的文化氛围提供保障。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租赁场馆面积</w:t>
            </w:r>
          </w:p>
        </w:tc>
        <w:tc>
          <w:tcPr>
            <w:tcW w:w="3430" w:type="dxa"/>
            <w:vAlign w:val="center"/>
          </w:tcPr>
          <w:p>
            <w:pPr>
              <w:pStyle w:val="13"/>
            </w:pPr>
            <w:r>
              <w:t>租赁场馆面积</w:t>
            </w:r>
          </w:p>
        </w:tc>
        <w:tc>
          <w:tcPr>
            <w:tcW w:w="2551" w:type="dxa"/>
            <w:vAlign w:val="center"/>
          </w:tcPr>
          <w:p>
            <w:pPr>
              <w:pStyle w:val="13"/>
            </w:pPr>
            <w:r>
              <w:t>30188平方米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场馆正常开放率</w:t>
            </w:r>
          </w:p>
        </w:tc>
        <w:tc>
          <w:tcPr>
            <w:tcW w:w="3430" w:type="dxa"/>
            <w:vAlign w:val="center"/>
          </w:tcPr>
          <w:p>
            <w:pPr>
              <w:pStyle w:val="13"/>
            </w:pPr>
            <w:r>
              <w:t>场馆正常运转及免费开放</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场馆维修响应时长</w:t>
            </w:r>
          </w:p>
        </w:tc>
        <w:tc>
          <w:tcPr>
            <w:tcW w:w="3430" w:type="dxa"/>
            <w:vAlign w:val="center"/>
          </w:tcPr>
          <w:p>
            <w:pPr>
              <w:pStyle w:val="13"/>
            </w:pPr>
            <w:r>
              <w:t>场馆内部维修响应时长</w:t>
            </w:r>
          </w:p>
        </w:tc>
        <w:tc>
          <w:tcPr>
            <w:tcW w:w="2551" w:type="dxa"/>
            <w:vAlign w:val="center"/>
          </w:tcPr>
          <w:p>
            <w:pPr>
              <w:pStyle w:val="13"/>
            </w:pPr>
            <w:r>
              <w:t>≤5工作日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租赁成本</w:t>
            </w:r>
          </w:p>
        </w:tc>
        <w:tc>
          <w:tcPr>
            <w:tcW w:w="3430" w:type="dxa"/>
            <w:vAlign w:val="center"/>
          </w:tcPr>
          <w:p>
            <w:pPr>
              <w:pStyle w:val="13"/>
            </w:pPr>
            <w:r>
              <w:t>租赁成本</w:t>
            </w:r>
          </w:p>
        </w:tc>
        <w:tc>
          <w:tcPr>
            <w:tcW w:w="2551" w:type="dxa"/>
            <w:vAlign w:val="center"/>
          </w:tcPr>
          <w:p>
            <w:pPr>
              <w:pStyle w:val="13"/>
            </w:pPr>
            <w:r>
              <w:t>≤1.08元/日/平方米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群众文化活动影响力</w:t>
            </w:r>
          </w:p>
        </w:tc>
        <w:tc>
          <w:tcPr>
            <w:tcW w:w="3430" w:type="dxa"/>
            <w:vAlign w:val="center"/>
          </w:tcPr>
          <w:p>
            <w:pPr>
              <w:pStyle w:val="13"/>
            </w:pPr>
            <w:r>
              <w:t>新区多种形式文化活动产生的影响力</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活动参观者及参与方满意度</w:t>
            </w:r>
          </w:p>
        </w:tc>
        <w:tc>
          <w:tcPr>
            <w:tcW w:w="3430" w:type="dxa"/>
            <w:vAlign w:val="center"/>
          </w:tcPr>
          <w:p>
            <w:pPr>
              <w:pStyle w:val="13"/>
            </w:pPr>
            <w:r>
              <w:t>活动参观者及参与方满意度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26.2025年滨海新区文化馆运转费用绩效目标表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363202天津市滨海新区文化馆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2025年滨海新区文化馆运转费用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2790000.00</w:t>
            </w:r>
          </w:p>
        </w:tc>
        <w:tc>
          <w:tcPr>
            <w:tcW w:w="1587" w:type="dxa"/>
            <w:vAlign w:val="center"/>
          </w:tcPr>
          <w:p>
            <w:pPr>
              <w:pStyle w:val="14"/>
            </w:pPr>
            <w:r>
              <w:t>其中：财政    资金</w:t>
            </w:r>
          </w:p>
        </w:tc>
        <w:tc>
          <w:tcPr>
            <w:tcW w:w="1843" w:type="dxa"/>
            <w:vAlign w:val="center"/>
          </w:tcPr>
          <w:p>
            <w:pPr>
              <w:pStyle w:val="13"/>
            </w:pPr>
            <w:r>
              <w:t>2790000.00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通过使用文化馆运转费用，保证天津市滨海新区文化馆场馆免费向社会公众开放，确保网络正常使用，水电正常供应，物业及采暖等项目正常运行，适当开展文化活动，建立新区良好的文化氛围。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1.通过使用文化馆运转费用，保证天津市滨海新区文化馆场馆免费向社会公众开放，确保网络正常使用，水电正常供应，物业及采暖等项目正常运行，适当开展文化活动，建立新区良好的文化氛围。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免费开放场馆数量</w:t>
            </w:r>
          </w:p>
        </w:tc>
        <w:tc>
          <w:tcPr>
            <w:tcW w:w="3430" w:type="dxa"/>
            <w:vAlign w:val="center"/>
          </w:tcPr>
          <w:p>
            <w:pPr>
              <w:pStyle w:val="13"/>
            </w:pPr>
            <w:r>
              <w:t>免费开放场馆数量</w:t>
            </w:r>
          </w:p>
        </w:tc>
        <w:tc>
          <w:tcPr>
            <w:tcW w:w="2551" w:type="dxa"/>
            <w:vAlign w:val="center"/>
          </w:tcPr>
          <w:p>
            <w:pPr>
              <w:pStyle w:val="13"/>
            </w:pPr>
            <w:r>
              <w:t>2座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免费开放天数</w:t>
            </w:r>
          </w:p>
        </w:tc>
        <w:tc>
          <w:tcPr>
            <w:tcW w:w="3430" w:type="dxa"/>
            <w:vAlign w:val="center"/>
          </w:tcPr>
          <w:p>
            <w:pPr>
              <w:pStyle w:val="13"/>
            </w:pPr>
            <w:r>
              <w:t>免费开放天数</w:t>
            </w:r>
          </w:p>
        </w:tc>
        <w:tc>
          <w:tcPr>
            <w:tcW w:w="2551" w:type="dxa"/>
            <w:vAlign w:val="center"/>
          </w:tcPr>
          <w:p>
            <w:pPr>
              <w:pStyle w:val="13"/>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场馆正常开放率</w:t>
            </w:r>
          </w:p>
        </w:tc>
        <w:tc>
          <w:tcPr>
            <w:tcW w:w="3430" w:type="dxa"/>
            <w:vAlign w:val="center"/>
          </w:tcPr>
          <w:p>
            <w:pPr>
              <w:pStyle w:val="13"/>
            </w:pPr>
            <w:r>
              <w:t>场馆正常运行及免费开放</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场馆维修响应时长</w:t>
            </w:r>
          </w:p>
        </w:tc>
        <w:tc>
          <w:tcPr>
            <w:tcW w:w="3430" w:type="dxa"/>
            <w:vAlign w:val="center"/>
          </w:tcPr>
          <w:p>
            <w:pPr>
              <w:pStyle w:val="13"/>
            </w:pPr>
            <w:r>
              <w:t>场馆故障及时维修</w:t>
            </w:r>
          </w:p>
        </w:tc>
        <w:tc>
          <w:tcPr>
            <w:tcW w:w="2551" w:type="dxa"/>
            <w:vAlign w:val="center"/>
          </w:tcPr>
          <w:p>
            <w:pPr>
              <w:pStyle w:val="13"/>
            </w:pPr>
            <w:r>
              <w:t>≤7工作日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场馆开放及办公使用网络费</w:t>
            </w:r>
          </w:p>
        </w:tc>
        <w:tc>
          <w:tcPr>
            <w:tcW w:w="3430" w:type="dxa"/>
            <w:vAlign w:val="center"/>
          </w:tcPr>
          <w:p>
            <w:pPr>
              <w:pStyle w:val="13"/>
            </w:pPr>
            <w:r>
              <w:t>场馆开放及办公使用网络费</w:t>
            </w:r>
          </w:p>
        </w:tc>
        <w:tc>
          <w:tcPr>
            <w:tcW w:w="2551" w:type="dxa"/>
            <w:vAlign w:val="center"/>
          </w:tcPr>
          <w:p>
            <w:pPr>
              <w:pStyle w:val="13"/>
            </w:pPr>
            <w:r>
              <w:t>≤1.3万元/年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水电费</w:t>
            </w:r>
          </w:p>
        </w:tc>
        <w:tc>
          <w:tcPr>
            <w:tcW w:w="3430" w:type="dxa"/>
            <w:vAlign w:val="center"/>
          </w:tcPr>
          <w:p>
            <w:pPr>
              <w:pStyle w:val="13"/>
            </w:pPr>
            <w:r>
              <w:t>水电费</w:t>
            </w:r>
          </w:p>
        </w:tc>
        <w:tc>
          <w:tcPr>
            <w:tcW w:w="2551" w:type="dxa"/>
            <w:vAlign w:val="center"/>
          </w:tcPr>
          <w:p>
            <w:pPr>
              <w:pStyle w:val="13"/>
            </w:pPr>
            <w:r>
              <w:t>≤3.3万元/年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物业费</w:t>
            </w:r>
          </w:p>
        </w:tc>
        <w:tc>
          <w:tcPr>
            <w:tcW w:w="3430" w:type="dxa"/>
            <w:vAlign w:val="center"/>
          </w:tcPr>
          <w:p>
            <w:pPr>
              <w:pStyle w:val="13"/>
            </w:pPr>
            <w:r>
              <w:t>物业费</w:t>
            </w:r>
          </w:p>
        </w:tc>
        <w:tc>
          <w:tcPr>
            <w:tcW w:w="2551" w:type="dxa"/>
            <w:vAlign w:val="center"/>
          </w:tcPr>
          <w:p>
            <w:pPr>
              <w:pStyle w:val="13"/>
            </w:pPr>
            <w:r>
              <w:t>≤30万元/年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采暖费</w:t>
            </w:r>
          </w:p>
        </w:tc>
        <w:tc>
          <w:tcPr>
            <w:tcW w:w="3430" w:type="dxa"/>
            <w:vAlign w:val="center"/>
          </w:tcPr>
          <w:p>
            <w:pPr>
              <w:pStyle w:val="13"/>
            </w:pPr>
            <w:r>
              <w:t>采暖费</w:t>
            </w:r>
          </w:p>
        </w:tc>
        <w:tc>
          <w:tcPr>
            <w:tcW w:w="2551" w:type="dxa"/>
            <w:vAlign w:val="center"/>
          </w:tcPr>
          <w:p>
            <w:pPr>
              <w:pStyle w:val="13"/>
            </w:pPr>
            <w:r>
              <w:t>≤10.4万元/年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保障费用</w:t>
            </w:r>
          </w:p>
        </w:tc>
        <w:tc>
          <w:tcPr>
            <w:tcW w:w="3430" w:type="dxa"/>
            <w:vAlign w:val="center"/>
          </w:tcPr>
          <w:p>
            <w:pPr>
              <w:pStyle w:val="13"/>
            </w:pPr>
            <w:r>
              <w:t>大港馆区合作共建费用</w:t>
            </w:r>
          </w:p>
        </w:tc>
        <w:tc>
          <w:tcPr>
            <w:tcW w:w="2551" w:type="dxa"/>
            <w:vAlign w:val="center"/>
          </w:tcPr>
          <w:p>
            <w:pPr>
              <w:pStyle w:val="13"/>
            </w:pPr>
            <w:r>
              <w:t>≤234万元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保障单位正常运行率</w:t>
            </w:r>
          </w:p>
        </w:tc>
        <w:tc>
          <w:tcPr>
            <w:tcW w:w="3430" w:type="dxa"/>
            <w:vAlign w:val="center"/>
          </w:tcPr>
          <w:p>
            <w:pPr>
              <w:pStyle w:val="13"/>
            </w:pPr>
            <w:r>
              <w:t>保障单位正常运行，场馆免费开放</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活动对象满意度</w:t>
            </w:r>
          </w:p>
        </w:tc>
        <w:tc>
          <w:tcPr>
            <w:tcW w:w="3430" w:type="dxa"/>
            <w:vAlign w:val="center"/>
          </w:tcPr>
          <w:p>
            <w:pPr>
              <w:pStyle w:val="13"/>
            </w:pPr>
            <w:r>
              <w:t>参与活动人员满意度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27.2025年-滨海新区文化馆塘沽馆区提升改造项目（自有资金）*绩效目标表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363202天津市滨海新区文化馆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2025年-滨海新区文化馆塘沽馆区提升改造项目（自有资金）*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180000.00</w:t>
            </w:r>
          </w:p>
        </w:tc>
        <w:tc>
          <w:tcPr>
            <w:tcW w:w="1587" w:type="dxa"/>
            <w:vAlign w:val="center"/>
          </w:tcPr>
          <w:p>
            <w:pPr>
              <w:pStyle w:val="14"/>
            </w:pPr>
            <w:r>
              <w:t>其中：财政    资金</w:t>
            </w:r>
          </w:p>
        </w:tc>
        <w:tc>
          <w:tcPr>
            <w:tcW w:w="1843" w:type="dxa"/>
            <w:vAlign w:val="center"/>
          </w:tcPr>
          <w:p>
            <w:pPr>
              <w:pStyle w:val="13"/>
            </w:pPr>
            <w:r>
              <w:t>180000.00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通过使用专项财力资金，解决拖欠滨海新区文化馆塘沽馆区提升改造项目工程款问题，达到清欠部分工程款目标。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1.通过使用专项财力资金，解决拖欠滨海新区文化馆塘沽馆区提升改造项目工程款问题，达到清欠部分工程款目标。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建设(改造、修缮)工程数量</w:t>
            </w:r>
          </w:p>
        </w:tc>
        <w:tc>
          <w:tcPr>
            <w:tcW w:w="3430" w:type="dxa"/>
            <w:vAlign w:val="center"/>
          </w:tcPr>
          <w:p>
            <w:pPr>
              <w:pStyle w:val="13"/>
            </w:pPr>
            <w:r>
              <w:t>建设(改造、修缮)工程数量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工程质量达标率</w:t>
            </w:r>
          </w:p>
        </w:tc>
        <w:tc>
          <w:tcPr>
            <w:tcW w:w="3430" w:type="dxa"/>
            <w:vAlign w:val="center"/>
          </w:tcPr>
          <w:p>
            <w:pPr>
              <w:pStyle w:val="13"/>
            </w:pPr>
            <w:r>
              <w:t>工程质量达标率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完成资金支付时限</w:t>
            </w:r>
          </w:p>
        </w:tc>
        <w:tc>
          <w:tcPr>
            <w:tcW w:w="3430" w:type="dxa"/>
            <w:vAlign w:val="center"/>
          </w:tcPr>
          <w:p>
            <w:pPr>
              <w:pStyle w:val="13"/>
            </w:pPr>
            <w:r>
              <w:t>完成资金支付时限</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项目尾款支付</w:t>
            </w:r>
          </w:p>
        </w:tc>
        <w:tc>
          <w:tcPr>
            <w:tcW w:w="3430" w:type="dxa"/>
            <w:vAlign w:val="center"/>
          </w:tcPr>
          <w:p>
            <w:pPr>
              <w:pStyle w:val="13"/>
            </w:pPr>
            <w:r>
              <w:t>塘沽馆区提升改造工程费用</w:t>
            </w:r>
          </w:p>
        </w:tc>
        <w:tc>
          <w:tcPr>
            <w:tcW w:w="2551" w:type="dxa"/>
            <w:vAlign w:val="center"/>
          </w:tcPr>
          <w:p>
            <w:pPr>
              <w:pStyle w:val="13"/>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设施正常运转率</w:t>
            </w:r>
          </w:p>
        </w:tc>
        <w:tc>
          <w:tcPr>
            <w:tcW w:w="3430" w:type="dxa"/>
            <w:vAlign w:val="center"/>
          </w:tcPr>
          <w:p>
            <w:pPr>
              <w:pStyle w:val="13"/>
            </w:pPr>
            <w:r>
              <w:t>设施正常运转率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3430" w:type="dxa"/>
            <w:vAlign w:val="center"/>
          </w:tcPr>
          <w:p>
            <w:pPr>
              <w:pStyle w:val="13"/>
            </w:pPr>
            <w:r>
              <w:t>社会公众满意度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28.2025年滨海新区文化馆各类工程尾款专项经费绩效目标表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363202天津市滨海新区文化馆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2025年滨海新区文化馆各类工程尾款专项经费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w:t>
            </w:r>
          </w:p>
        </w:tc>
        <w:tc>
          <w:tcPr>
            <w:tcW w:w="1587" w:type="dxa"/>
            <w:vAlign w:val="center"/>
          </w:tcPr>
          <w:p>
            <w:pPr>
              <w:pStyle w:val="14"/>
            </w:pPr>
            <w:r>
              <w:t>其中：财政    资金</w:t>
            </w:r>
          </w:p>
        </w:tc>
        <w:tc>
          <w:tcPr>
            <w:tcW w:w="1843" w:type="dxa"/>
            <w:vAlign w:val="center"/>
          </w:tcPr>
          <w:p>
            <w:pPr>
              <w:pStyle w:val="13"/>
            </w:pPr>
            <w:r>
              <w:t>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通过使用专项经费，解决滨海新区大港文化馆（大剧院）屋面防水抢修工程项目工程款的支付问题，达到清欠工程款目标。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1.通过使用专项经费，解决滨海新区大港文化馆（大剧院）屋面防水抢修工程项目工程款的支付问题，达到清欠工程款目标。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建设(改造、修缮)工程数量</w:t>
            </w:r>
          </w:p>
        </w:tc>
        <w:tc>
          <w:tcPr>
            <w:tcW w:w="3430" w:type="dxa"/>
            <w:vAlign w:val="center"/>
          </w:tcPr>
          <w:p>
            <w:pPr>
              <w:pStyle w:val="13"/>
            </w:pPr>
            <w:r>
              <w:t>建设(改造、修缮)工程数量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工程质量达标率</w:t>
            </w:r>
          </w:p>
        </w:tc>
        <w:tc>
          <w:tcPr>
            <w:tcW w:w="3430" w:type="dxa"/>
            <w:vAlign w:val="center"/>
          </w:tcPr>
          <w:p>
            <w:pPr>
              <w:pStyle w:val="13"/>
            </w:pPr>
            <w:r>
              <w:t>工程质量达标率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完成资金支付时限</w:t>
            </w:r>
          </w:p>
        </w:tc>
        <w:tc>
          <w:tcPr>
            <w:tcW w:w="3430" w:type="dxa"/>
            <w:vAlign w:val="center"/>
          </w:tcPr>
          <w:p>
            <w:pPr>
              <w:pStyle w:val="13"/>
            </w:pPr>
            <w:r>
              <w:t>完成资金支付时限</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项目尾款支付</w:t>
            </w:r>
          </w:p>
        </w:tc>
        <w:tc>
          <w:tcPr>
            <w:tcW w:w="3430" w:type="dxa"/>
            <w:vAlign w:val="center"/>
          </w:tcPr>
          <w:p>
            <w:pPr>
              <w:pStyle w:val="13"/>
            </w:pPr>
            <w:r>
              <w:t>（原）大港文化馆（大剧院）屋面防水抢修工程费用</w:t>
            </w:r>
          </w:p>
        </w:tc>
        <w:tc>
          <w:tcPr>
            <w:tcW w:w="2551" w:type="dxa"/>
            <w:vAlign w:val="center"/>
          </w:tcPr>
          <w:p>
            <w:pPr>
              <w:pStyle w:val="13"/>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设施正常运转率</w:t>
            </w:r>
          </w:p>
        </w:tc>
        <w:tc>
          <w:tcPr>
            <w:tcW w:w="3430" w:type="dxa"/>
            <w:vAlign w:val="center"/>
          </w:tcPr>
          <w:p>
            <w:pPr>
              <w:pStyle w:val="13"/>
            </w:pPr>
            <w:r>
              <w:t>设施正常运转率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3430" w:type="dxa"/>
            <w:vAlign w:val="center"/>
          </w:tcPr>
          <w:p>
            <w:pPr>
              <w:pStyle w:val="13"/>
            </w:pPr>
            <w:r>
              <w:t>社会公众满意度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29.2025年文化馆（含美术馆）区级免费开放绩效目标表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363202天津市滨海新区文化馆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2025年文化馆（含美术馆）区级免费开放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350000.00</w:t>
            </w:r>
          </w:p>
        </w:tc>
        <w:tc>
          <w:tcPr>
            <w:tcW w:w="1587" w:type="dxa"/>
            <w:vAlign w:val="center"/>
          </w:tcPr>
          <w:p>
            <w:pPr>
              <w:pStyle w:val="14"/>
            </w:pPr>
            <w:r>
              <w:t>其中：财政    资金</w:t>
            </w:r>
          </w:p>
        </w:tc>
        <w:tc>
          <w:tcPr>
            <w:tcW w:w="1843" w:type="dxa"/>
            <w:vAlign w:val="center"/>
          </w:tcPr>
          <w:p>
            <w:pPr>
              <w:pStyle w:val="13"/>
            </w:pPr>
            <w:r>
              <w:t>350000.00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通过举办一系列辅导培训讲座、展演展示，完成2025年四期《滨海文化》，进行场馆小型维修维护及安全维保等，营造浓厚的文化氛围，向全国友好单位展示滨海新区文化馆风采，保障文化场馆免费开放。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1.通过举办一系列辅导培训讲座、展演展示，完成2025年四期《滨海文化》，进行场馆小型维修维护及安全维保等，营造浓厚的文化氛围，向全国友好单位展示滨海新区文化馆风采，保障文化场馆免费开放。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活动场次</w:t>
            </w:r>
          </w:p>
        </w:tc>
        <w:tc>
          <w:tcPr>
            <w:tcW w:w="3430" w:type="dxa"/>
            <w:vAlign w:val="center"/>
          </w:tcPr>
          <w:p>
            <w:pPr>
              <w:pStyle w:val="13"/>
            </w:pPr>
            <w:r>
              <w:t>开展活动的场次</w:t>
            </w:r>
          </w:p>
        </w:tc>
        <w:tc>
          <w:tcPr>
            <w:tcW w:w="2551" w:type="dxa"/>
            <w:vAlign w:val="center"/>
          </w:tcPr>
          <w:p>
            <w:pPr>
              <w:pStyle w:val="13"/>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全年期刊期数</w:t>
            </w:r>
          </w:p>
        </w:tc>
        <w:tc>
          <w:tcPr>
            <w:tcW w:w="3430" w:type="dxa"/>
            <w:vAlign w:val="center"/>
          </w:tcPr>
          <w:p>
            <w:pPr>
              <w:pStyle w:val="13"/>
            </w:pPr>
            <w:r>
              <w:t>全年编印期刊期数</w:t>
            </w:r>
          </w:p>
        </w:tc>
        <w:tc>
          <w:tcPr>
            <w:tcW w:w="2551" w:type="dxa"/>
            <w:vAlign w:val="center"/>
          </w:tcPr>
          <w:p>
            <w:pPr>
              <w:pStyle w:val="13"/>
            </w:pPr>
            <w:r>
              <w:t>4期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活动区域覆盖率</w:t>
            </w:r>
          </w:p>
        </w:tc>
        <w:tc>
          <w:tcPr>
            <w:tcW w:w="3430" w:type="dxa"/>
            <w:vAlign w:val="center"/>
          </w:tcPr>
          <w:p>
            <w:pPr>
              <w:pStyle w:val="13"/>
            </w:pPr>
            <w:r>
              <w:t>活动区域覆盖率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活动完成时限</w:t>
            </w:r>
          </w:p>
        </w:tc>
        <w:tc>
          <w:tcPr>
            <w:tcW w:w="3430" w:type="dxa"/>
            <w:vAlign w:val="center"/>
          </w:tcPr>
          <w:p>
            <w:pPr>
              <w:pStyle w:val="13"/>
            </w:pPr>
            <w:r>
              <w:t>活动完成时限</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各类免费开放费用</w:t>
            </w:r>
          </w:p>
        </w:tc>
        <w:tc>
          <w:tcPr>
            <w:tcW w:w="3430" w:type="dxa"/>
            <w:vAlign w:val="center"/>
          </w:tcPr>
          <w:p>
            <w:pPr>
              <w:pStyle w:val="13"/>
            </w:pPr>
            <w:r>
              <w:t>各类免费开放费用</w:t>
            </w:r>
          </w:p>
        </w:tc>
        <w:tc>
          <w:tcPr>
            <w:tcW w:w="2551"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促进滨海新区文化活动影响力</w:t>
            </w:r>
          </w:p>
        </w:tc>
        <w:tc>
          <w:tcPr>
            <w:tcW w:w="3430" w:type="dxa"/>
            <w:vAlign w:val="center"/>
          </w:tcPr>
          <w:p>
            <w:pPr>
              <w:pStyle w:val="13"/>
            </w:pPr>
            <w:r>
              <w:t>促进滨海新区文化活动影响力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参与活动群众满意度</w:t>
            </w:r>
          </w:p>
        </w:tc>
        <w:tc>
          <w:tcPr>
            <w:tcW w:w="3430" w:type="dxa"/>
            <w:vAlign w:val="center"/>
          </w:tcPr>
          <w:p>
            <w:pPr>
              <w:pStyle w:val="13"/>
            </w:pPr>
            <w:r>
              <w:t>参与活动群众满意度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30.天津市财政局关于提前下达2024年中央支持地方公共文化服务体系建设补助资金预算的通知（津财教指[2023]84号）-文化馆绩效目标表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363202天津市滨海新区文化馆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天津市财政局关于提前下达2024年中央支持地方公共文化服务体系建设补助资金预算的通知（津财教指[2023]84号）-文化馆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3800.00</w:t>
            </w:r>
          </w:p>
        </w:tc>
        <w:tc>
          <w:tcPr>
            <w:tcW w:w="1587" w:type="dxa"/>
            <w:vAlign w:val="center"/>
          </w:tcPr>
          <w:p>
            <w:pPr>
              <w:pStyle w:val="14"/>
            </w:pPr>
            <w:r>
              <w:t>其中：财政    资金</w:t>
            </w:r>
          </w:p>
        </w:tc>
        <w:tc>
          <w:tcPr>
            <w:tcW w:w="1843" w:type="dxa"/>
            <w:vAlign w:val="center"/>
          </w:tcPr>
          <w:p>
            <w:pPr>
              <w:pStyle w:val="13"/>
            </w:pPr>
            <w:r>
              <w:t>3800.00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全年通过举办文化惠民系列动静态活动，营造文化氛围，丰富市民生活，助力“四宜”美丽滨城建设，同时，围绕“四个以文”及滨城“四种文化”开展文艺精品创作，讲好滨城故事，宣传滨城文化。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1.全年通过举办文化惠民系列动静态活动，营造文化氛围，丰富市民生活，助力“四宜”美丽滨城建设，同时，围绕“四个以文”及滨城“四种文化”开展文艺精品创作，讲好滨城故事，宣传滨城文化。</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举办活动数量</w:t>
            </w:r>
          </w:p>
        </w:tc>
        <w:tc>
          <w:tcPr>
            <w:tcW w:w="3430" w:type="dxa"/>
            <w:vAlign w:val="center"/>
          </w:tcPr>
          <w:p>
            <w:pPr>
              <w:pStyle w:val="13"/>
            </w:pPr>
            <w:r>
              <w:t>举办基层文艺活动、展览展示等各类活动</w:t>
            </w:r>
          </w:p>
        </w:tc>
        <w:tc>
          <w:tcPr>
            <w:tcW w:w="2551" w:type="dxa"/>
            <w:vAlign w:val="center"/>
          </w:tcPr>
          <w:p>
            <w:pPr>
              <w:pStyle w:val="13"/>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活动参与人数达标率</w:t>
            </w:r>
          </w:p>
        </w:tc>
        <w:tc>
          <w:tcPr>
            <w:tcW w:w="3430" w:type="dxa"/>
            <w:vAlign w:val="center"/>
          </w:tcPr>
          <w:p>
            <w:pPr>
              <w:pStyle w:val="13"/>
            </w:pPr>
            <w:r>
              <w:t>活动参与人数达标率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3430" w:type="dxa"/>
            <w:vAlign w:val="center"/>
          </w:tcPr>
          <w:p>
            <w:pPr>
              <w:pStyle w:val="13"/>
            </w:pPr>
            <w:r>
              <w:t>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项目实际支出</w:t>
            </w:r>
          </w:p>
        </w:tc>
        <w:tc>
          <w:tcPr>
            <w:tcW w:w="3430" w:type="dxa"/>
            <w:vAlign w:val="center"/>
          </w:tcPr>
          <w:p>
            <w:pPr>
              <w:pStyle w:val="13"/>
            </w:pPr>
            <w:r>
              <w:t>项目实际支出</w:t>
            </w:r>
          </w:p>
        </w:tc>
        <w:tc>
          <w:tcPr>
            <w:tcW w:w="2551" w:type="dxa"/>
            <w:vAlign w:val="center"/>
          </w:tcPr>
          <w:p>
            <w:pPr>
              <w:pStyle w:val="13"/>
            </w:pPr>
            <w:r>
              <w:t>≤3800元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促进“四宜”美丽滨城建设</w:t>
            </w:r>
          </w:p>
        </w:tc>
        <w:tc>
          <w:tcPr>
            <w:tcW w:w="3430" w:type="dxa"/>
            <w:vAlign w:val="center"/>
          </w:tcPr>
          <w:p>
            <w:pPr>
              <w:pStyle w:val="13"/>
            </w:pPr>
            <w:r>
              <w:t>促进“四宜”美丽滨城建设</w:t>
            </w:r>
          </w:p>
        </w:tc>
        <w:tc>
          <w:tcPr>
            <w:tcW w:w="2551" w:type="dxa"/>
            <w:vAlign w:val="center"/>
          </w:tcPr>
          <w:p>
            <w:pPr>
              <w:pStyle w:val="13"/>
            </w:pPr>
            <w:r>
              <w:t>显著促进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参与文化活动人员满意度</w:t>
            </w:r>
          </w:p>
        </w:tc>
        <w:tc>
          <w:tcPr>
            <w:tcW w:w="3430" w:type="dxa"/>
            <w:vAlign w:val="center"/>
          </w:tcPr>
          <w:p>
            <w:pPr>
              <w:pStyle w:val="13"/>
            </w:pPr>
            <w:r>
              <w:t>参与文化活动人员满意度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sz w:val="28"/>
        </w:rPr>
        <w:t>31.天津市财政局关于提前下达公共图书馆、美术馆、文化馆（站）免费开放中央补助资金预算的通知（津财教指[2024]123号）绩效目标表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363202天津市滨海新区文化馆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天津市财政局关于提前下达公共图书馆、美术馆、文化馆（站）免费开放中央补助资金预算的通知（津财教指[2024]123号）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135000.00</w:t>
            </w:r>
          </w:p>
        </w:tc>
        <w:tc>
          <w:tcPr>
            <w:tcW w:w="1587" w:type="dxa"/>
            <w:vAlign w:val="center"/>
          </w:tcPr>
          <w:p>
            <w:pPr>
              <w:pStyle w:val="14"/>
            </w:pPr>
            <w:r>
              <w:t>其中：财政    资金</w:t>
            </w:r>
          </w:p>
        </w:tc>
        <w:tc>
          <w:tcPr>
            <w:tcW w:w="1843" w:type="dxa"/>
            <w:vAlign w:val="center"/>
          </w:tcPr>
          <w:p>
            <w:pPr>
              <w:pStyle w:val="13"/>
            </w:pPr>
            <w:r>
              <w:t>135000.00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文化部、财政部关于推进全国美术馆、公告图书馆、文化馆（站）免费开放工作的意见》，免费开放资金用于保障文化艺术辅导培训、公益性群众文化活动，公益性展览展示、培训基层队伍及文艺骨干、指导群众文艺作品创作等公共文化服务项目的免费提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根据《文化部、财政部关于推进全国美术馆、公告图书馆、文化馆（站）免费开放工作的意见》，免费开放资金用于保障文化艺术辅导培训、公益性群众文化活动，公益性展览展示、培训基层队伍及文艺骨干、指导群众文艺作品创作等公共文化服务项目的免费提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免费开放场馆数量</w:t>
            </w:r>
          </w:p>
        </w:tc>
        <w:tc>
          <w:tcPr>
            <w:tcW w:w="3430" w:type="dxa"/>
            <w:vAlign w:val="center"/>
          </w:tcPr>
          <w:p>
            <w:pPr>
              <w:pStyle w:val="13"/>
            </w:pPr>
            <w:r>
              <w:t>免费开放场馆数量</w:t>
            </w:r>
          </w:p>
        </w:tc>
        <w:tc>
          <w:tcPr>
            <w:tcW w:w="2551" w:type="dxa"/>
            <w:vAlign w:val="center"/>
          </w:tcPr>
          <w:p>
            <w:pPr>
              <w:pStyle w:val="13"/>
            </w:pPr>
            <w:r>
              <w:t>3座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活动正常举办率</w:t>
            </w:r>
          </w:p>
        </w:tc>
        <w:tc>
          <w:tcPr>
            <w:tcW w:w="3430" w:type="dxa"/>
            <w:vAlign w:val="center"/>
          </w:tcPr>
          <w:p>
            <w:pPr>
              <w:pStyle w:val="13"/>
            </w:pPr>
            <w:r>
              <w:t>活动正常举办率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完成资金支付时限</w:t>
            </w:r>
          </w:p>
        </w:tc>
        <w:tc>
          <w:tcPr>
            <w:tcW w:w="3430" w:type="dxa"/>
            <w:vAlign w:val="center"/>
          </w:tcPr>
          <w:p>
            <w:pPr>
              <w:pStyle w:val="13"/>
            </w:pPr>
            <w:r>
              <w:t>完成资金支付时限</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全年免费开放资金控制</w:t>
            </w:r>
          </w:p>
        </w:tc>
        <w:tc>
          <w:tcPr>
            <w:tcW w:w="3430" w:type="dxa"/>
            <w:vAlign w:val="center"/>
          </w:tcPr>
          <w:p>
            <w:pPr>
              <w:pStyle w:val="13"/>
            </w:pPr>
            <w:r>
              <w:t>全年免费开放资金控制</w:t>
            </w:r>
          </w:p>
        </w:tc>
        <w:tc>
          <w:tcPr>
            <w:tcW w:w="2551" w:type="dxa"/>
            <w:vAlign w:val="center"/>
          </w:tcPr>
          <w:p>
            <w:pPr>
              <w:pStyle w:val="13"/>
            </w:pPr>
            <w:r>
              <w:t>≤13.5万元/年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促进新区文化惠民发展</w:t>
            </w:r>
          </w:p>
        </w:tc>
        <w:tc>
          <w:tcPr>
            <w:tcW w:w="3430" w:type="dxa"/>
            <w:vAlign w:val="center"/>
          </w:tcPr>
          <w:p>
            <w:pPr>
              <w:pStyle w:val="13"/>
            </w:pPr>
            <w:r>
              <w:t>促进新区文化惠民发展</w:t>
            </w:r>
          </w:p>
        </w:tc>
        <w:tc>
          <w:tcPr>
            <w:tcW w:w="2551" w:type="dxa"/>
            <w:vAlign w:val="center"/>
          </w:tcPr>
          <w:p>
            <w:pPr>
              <w:pStyle w:val="13"/>
            </w:pPr>
            <w:r>
              <w:t>显著促进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文化活动参与人员满意度</w:t>
            </w:r>
          </w:p>
        </w:tc>
        <w:tc>
          <w:tcPr>
            <w:tcW w:w="3430" w:type="dxa"/>
            <w:vAlign w:val="center"/>
          </w:tcPr>
          <w:p>
            <w:pPr>
              <w:pStyle w:val="13"/>
            </w:pPr>
            <w:r>
              <w:t>文化活动参与人员满意度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sz w:val="28"/>
        </w:rPr>
        <w:t>32.天津市财政局关于下达2024年国家非物质文化遗产保护资金预算的通知（津财教指【2024】34号）绩效目标表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363202天津市滨海新区文化馆</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天津市财政局关于下达2024年国家非物质文化遗产保护资金预算的通知（津财教指【2024】34号）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4200.00</w:t>
            </w:r>
          </w:p>
        </w:tc>
        <w:tc>
          <w:tcPr>
            <w:tcW w:w="1587" w:type="dxa"/>
            <w:vAlign w:val="center"/>
          </w:tcPr>
          <w:p>
            <w:pPr>
              <w:pStyle w:val="14"/>
            </w:pPr>
            <w:r>
              <w:t>其中：财政    资金</w:t>
            </w:r>
          </w:p>
        </w:tc>
        <w:tc>
          <w:tcPr>
            <w:tcW w:w="1843" w:type="dxa"/>
            <w:vAlign w:val="center"/>
          </w:tcPr>
          <w:p>
            <w:pPr>
              <w:pStyle w:val="13"/>
            </w:pPr>
            <w:r>
              <w:t>4200.00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扩大汉沽飞镲项目在全国的影响范围，培养新的飞镲表演技艺传承人，提高汉沽飞镲传统技艺水平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1.扩大汉沽飞镲项目在全国的影响范围，培养新的飞镲表演技艺传承人，提高汉沽飞镲传统技艺水平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举办非遗展演活动场次</w:t>
            </w:r>
          </w:p>
        </w:tc>
        <w:tc>
          <w:tcPr>
            <w:tcW w:w="3430" w:type="dxa"/>
            <w:vAlign w:val="center"/>
          </w:tcPr>
          <w:p>
            <w:pPr>
              <w:pStyle w:val="13"/>
            </w:pPr>
            <w:r>
              <w:t>举办非遗展演活动场次</w:t>
            </w:r>
          </w:p>
        </w:tc>
        <w:tc>
          <w:tcPr>
            <w:tcW w:w="2551" w:type="dxa"/>
            <w:vAlign w:val="center"/>
          </w:tcPr>
          <w:p>
            <w:pPr>
              <w:pStyle w:val="13"/>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项目实施总体合格率</w:t>
            </w:r>
          </w:p>
        </w:tc>
        <w:tc>
          <w:tcPr>
            <w:tcW w:w="3430" w:type="dxa"/>
            <w:vAlign w:val="center"/>
          </w:tcPr>
          <w:p>
            <w:pPr>
              <w:pStyle w:val="13"/>
            </w:pPr>
            <w:r>
              <w:t>项目实施总体合格率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资金下达之日起一年内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项目实施总成本</w:t>
            </w:r>
          </w:p>
        </w:tc>
        <w:tc>
          <w:tcPr>
            <w:tcW w:w="3430" w:type="dxa"/>
            <w:vAlign w:val="center"/>
          </w:tcPr>
          <w:p>
            <w:pPr>
              <w:pStyle w:val="13"/>
            </w:pPr>
            <w:r>
              <w:t>项目实施总成本</w:t>
            </w:r>
          </w:p>
        </w:tc>
        <w:tc>
          <w:tcPr>
            <w:tcW w:w="2551" w:type="dxa"/>
            <w:vAlign w:val="center"/>
          </w:tcPr>
          <w:p>
            <w:pPr>
              <w:pStyle w:val="13"/>
            </w:pPr>
            <w:r>
              <w:t>≤4200元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非遗宣传传播覆盖人群增长率</w:t>
            </w:r>
          </w:p>
        </w:tc>
        <w:tc>
          <w:tcPr>
            <w:tcW w:w="3430" w:type="dxa"/>
            <w:vAlign w:val="center"/>
          </w:tcPr>
          <w:p>
            <w:pPr>
              <w:pStyle w:val="13"/>
            </w:pPr>
            <w:r>
              <w:t>非遗宣传传播覆盖人群增长率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对提升非遗传承人技能艺能的影响</w:t>
            </w:r>
          </w:p>
        </w:tc>
        <w:tc>
          <w:tcPr>
            <w:tcW w:w="3430" w:type="dxa"/>
            <w:vAlign w:val="center"/>
          </w:tcPr>
          <w:p>
            <w:pPr>
              <w:pStyle w:val="13"/>
            </w:pPr>
            <w:r>
              <w:t>对提升非遗传承人技能艺能的影响</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对增强非遗保护传承氛围的影响</w:t>
            </w:r>
          </w:p>
        </w:tc>
        <w:tc>
          <w:tcPr>
            <w:tcW w:w="3430" w:type="dxa"/>
            <w:vAlign w:val="center"/>
          </w:tcPr>
          <w:p>
            <w:pPr>
              <w:pStyle w:val="13"/>
            </w:pPr>
            <w:r>
              <w:t>对增强非遗保护传承氛围的影响</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对提升非遗社会关注度的影响</w:t>
            </w:r>
          </w:p>
        </w:tc>
        <w:tc>
          <w:tcPr>
            <w:tcW w:w="3430" w:type="dxa"/>
            <w:vAlign w:val="center"/>
          </w:tcPr>
          <w:p>
            <w:pPr>
              <w:pStyle w:val="13"/>
            </w:pPr>
            <w:r>
              <w:t>对提升非遗社会关注度的影响</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非遗展演活动现场观众满意度</w:t>
            </w:r>
          </w:p>
        </w:tc>
        <w:tc>
          <w:tcPr>
            <w:tcW w:w="3430" w:type="dxa"/>
            <w:vAlign w:val="center"/>
          </w:tcPr>
          <w:p>
            <w:pPr>
              <w:pStyle w:val="13"/>
            </w:pPr>
            <w:r>
              <w:t>非遗展演活动现场观众满意度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2" w:name="_Toc_4_4_0000000036"/>
      <w:r>
        <w:rPr>
          <w:rFonts w:ascii="方正仿宋_GBK" w:hAnsi="方正仿宋_GBK" w:eastAsia="方正仿宋_GBK" w:cs="方正仿宋_GBK"/>
          <w:sz w:val="28"/>
        </w:rPr>
        <w:t>33.2025年文保中心旅游专项绩效目标表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2025年文保中心旅游专项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利用旅游专项资金，开展丰富多彩旅游活动，提升旅游知名度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1.通过日常文旅宣推活动以及旅游专项项目的实施，来提升公众对滨海新区的了解，从而促进旅游业的健康发展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文旅宣推活动举办场次</w:t>
            </w:r>
          </w:p>
        </w:tc>
        <w:tc>
          <w:tcPr>
            <w:tcW w:w="3430" w:type="dxa"/>
            <w:vAlign w:val="center"/>
          </w:tcPr>
          <w:p>
            <w:pPr>
              <w:pStyle w:val="13"/>
            </w:pPr>
            <w:r>
              <w:t>文旅宣推活动举办场次</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文旅宣推圆满完成率</w:t>
            </w:r>
          </w:p>
        </w:tc>
        <w:tc>
          <w:tcPr>
            <w:tcW w:w="3430" w:type="dxa"/>
            <w:vAlign w:val="center"/>
          </w:tcPr>
          <w:p>
            <w:pPr>
              <w:pStyle w:val="13"/>
            </w:pPr>
            <w:r>
              <w:t>文旅宣推圆满完成率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文旅宣推活动举办完成时间</w:t>
            </w:r>
          </w:p>
        </w:tc>
        <w:tc>
          <w:tcPr>
            <w:tcW w:w="3430" w:type="dxa"/>
            <w:vAlign w:val="center"/>
          </w:tcPr>
          <w:p>
            <w:pPr>
              <w:pStyle w:val="13"/>
            </w:pPr>
            <w:r>
              <w:t>文旅宣推活动举办完成时间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宣推活动费用</w:t>
            </w:r>
          </w:p>
        </w:tc>
        <w:tc>
          <w:tcPr>
            <w:tcW w:w="3430" w:type="dxa"/>
            <w:vAlign w:val="center"/>
          </w:tcPr>
          <w:p>
            <w:pPr>
              <w:pStyle w:val="13"/>
            </w:pPr>
            <w:r>
              <w:t>宣推活动费用</w:t>
            </w:r>
          </w:p>
        </w:tc>
        <w:tc>
          <w:tcPr>
            <w:tcW w:w="2551" w:type="dxa"/>
            <w:vAlign w:val="center"/>
          </w:tcPr>
          <w:p>
            <w:pPr>
              <w:pStyle w:val="13"/>
            </w:pPr>
            <w:r>
              <w:t>≤30000元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印制宣传品费用</w:t>
            </w:r>
          </w:p>
        </w:tc>
        <w:tc>
          <w:tcPr>
            <w:tcW w:w="3430" w:type="dxa"/>
            <w:vAlign w:val="center"/>
          </w:tcPr>
          <w:p>
            <w:pPr>
              <w:pStyle w:val="13"/>
            </w:pPr>
            <w:r>
              <w:t>印制宣传品费用</w:t>
            </w:r>
          </w:p>
        </w:tc>
        <w:tc>
          <w:tcPr>
            <w:tcW w:w="2551" w:type="dxa"/>
            <w:vAlign w:val="center"/>
          </w:tcPr>
          <w:p>
            <w:pPr>
              <w:pStyle w:val="13"/>
            </w:pPr>
            <w:r>
              <w:t>≤70000元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促进滨海旅游业健康发展，提升滨城美誉度</w:t>
            </w:r>
          </w:p>
        </w:tc>
        <w:tc>
          <w:tcPr>
            <w:tcW w:w="3430" w:type="dxa"/>
            <w:vAlign w:val="center"/>
          </w:tcPr>
          <w:p>
            <w:pPr>
              <w:pStyle w:val="13"/>
            </w:pPr>
            <w:r>
              <w:t>促进滨海旅游业健康发展，提升滨城美誉度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3" w:name="_Toc_4_4_0000000037"/>
      <w:r>
        <w:rPr>
          <w:rFonts w:ascii="方正仿宋_GBK" w:hAnsi="方正仿宋_GBK" w:eastAsia="方正仿宋_GBK" w:cs="方正仿宋_GBK"/>
          <w:sz w:val="28"/>
        </w:rPr>
        <w:t>34.2025年文保中心文物保护和博物馆宣教工作绩效目标表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2025年文保中心文物保护和博物馆宣教工作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540000.00</w:t>
            </w:r>
          </w:p>
        </w:tc>
        <w:tc>
          <w:tcPr>
            <w:tcW w:w="1587" w:type="dxa"/>
            <w:vAlign w:val="center"/>
          </w:tcPr>
          <w:p>
            <w:pPr>
              <w:pStyle w:val="14"/>
            </w:pPr>
            <w:r>
              <w:t>其中：财政    资金</w:t>
            </w:r>
          </w:p>
        </w:tc>
        <w:tc>
          <w:tcPr>
            <w:tcW w:w="1843" w:type="dxa"/>
            <w:vAlign w:val="center"/>
          </w:tcPr>
          <w:p>
            <w:pPr>
              <w:pStyle w:val="13"/>
            </w:pPr>
            <w:r>
              <w:t>540000.00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通过“四普”以及日常文物保护工作，提升公众对于文物保护的重视程度，并通过博物馆宣传教育活动提升公众对于文物的认识程度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1.通过博物馆社教专项活动的开展，从而有利于国家及公众提高对于博物馆的重视程度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博物馆社教项目数量</w:t>
            </w:r>
          </w:p>
        </w:tc>
        <w:tc>
          <w:tcPr>
            <w:tcW w:w="3430" w:type="dxa"/>
            <w:vAlign w:val="center"/>
          </w:tcPr>
          <w:p>
            <w:pPr>
              <w:pStyle w:val="13"/>
            </w:pPr>
            <w:r>
              <w:t>博物馆社教项目数量</w:t>
            </w:r>
          </w:p>
        </w:tc>
        <w:tc>
          <w:tcPr>
            <w:tcW w:w="2551" w:type="dxa"/>
            <w:vAlign w:val="center"/>
          </w:tcPr>
          <w:p>
            <w:pPr>
              <w:pStyle w:val="13"/>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博物馆社教项目完成率</w:t>
            </w:r>
          </w:p>
        </w:tc>
        <w:tc>
          <w:tcPr>
            <w:tcW w:w="3430" w:type="dxa"/>
            <w:vAlign w:val="center"/>
          </w:tcPr>
          <w:p>
            <w:pPr>
              <w:pStyle w:val="13"/>
            </w:pPr>
            <w:r>
              <w:t>博物馆社教项目完成率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博物馆社教项目完成时间</w:t>
            </w:r>
          </w:p>
        </w:tc>
        <w:tc>
          <w:tcPr>
            <w:tcW w:w="3430" w:type="dxa"/>
            <w:vAlign w:val="center"/>
          </w:tcPr>
          <w:p>
            <w:pPr>
              <w:pStyle w:val="13"/>
            </w:pPr>
            <w:r>
              <w:t>博物馆社教项目完成时间</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宣传教育经费</w:t>
            </w:r>
          </w:p>
        </w:tc>
        <w:tc>
          <w:tcPr>
            <w:tcW w:w="3430" w:type="dxa"/>
            <w:vAlign w:val="center"/>
          </w:tcPr>
          <w:p>
            <w:pPr>
              <w:pStyle w:val="13"/>
            </w:pPr>
            <w:r>
              <w:t>宣传教育经费成本</w:t>
            </w:r>
          </w:p>
        </w:tc>
        <w:tc>
          <w:tcPr>
            <w:tcW w:w="2551" w:type="dxa"/>
            <w:vAlign w:val="center"/>
          </w:tcPr>
          <w:p>
            <w:pPr>
              <w:pStyle w:val="13"/>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黄海学社修缮项目</w:t>
            </w:r>
          </w:p>
        </w:tc>
        <w:tc>
          <w:tcPr>
            <w:tcW w:w="3430" w:type="dxa"/>
            <w:vAlign w:val="center"/>
          </w:tcPr>
          <w:p>
            <w:pPr>
              <w:pStyle w:val="13"/>
            </w:pPr>
            <w:r>
              <w:t>黄海学社修缮项目</w:t>
            </w:r>
          </w:p>
        </w:tc>
        <w:tc>
          <w:tcPr>
            <w:tcW w:w="2551"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“四普”和日常文物保护工作经费</w:t>
            </w:r>
          </w:p>
        </w:tc>
        <w:tc>
          <w:tcPr>
            <w:tcW w:w="3430" w:type="dxa"/>
            <w:vAlign w:val="center"/>
          </w:tcPr>
          <w:p>
            <w:pPr>
              <w:pStyle w:val="13"/>
            </w:pPr>
            <w:r>
              <w:t>“四普”和日常文物保护工作经费成本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国家及公众对于博物馆的重视度</w:t>
            </w:r>
          </w:p>
        </w:tc>
        <w:tc>
          <w:tcPr>
            <w:tcW w:w="3430" w:type="dxa"/>
            <w:vAlign w:val="center"/>
          </w:tcPr>
          <w:p>
            <w:pPr>
              <w:pStyle w:val="13"/>
            </w:pPr>
            <w:r>
              <w:t>国家及公众对于博物馆的重视度</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参观人员满意度</w:t>
            </w:r>
          </w:p>
        </w:tc>
        <w:tc>
          <w:tcPr>
            <w:tcW w:w="3430" w:type="dxa"/>
            <w:vAlign w:val="center"/>
          </w:tcPr>
          <w:p>
            <w:pPr>
              <w:pStyle w:val="13"/>
            </w:pPr>
            <w:r>
              <w:t>参观人员满意度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4" w:name="_Toc_4_4_0000000038"/>
      <w:r>
        <w:rPr>
          <w:rFonts w:ascii="方正仿宋_GBK" w:hAnsi="方正仿宋_GBK" w:eastAsia="方正仿宋_GBK" w:cs="方正仿宋_GBK"/>
          <w:sz w:val="28"/>
        </w:rPr>
        <w:t>35.2025年文保中心运转类项目绩效目标表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2025年文保中心运转类项目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2050000.00</w:t>
            </w:r>
          </w:p>
        </w:tc>
        <w:tc>
          <w:tcPr>
            <w:tcW w:w="1587" w:type="dxa"/>
            <w:vAlign w:val="center"/>
          </w:tcPr>
          <w:p>
            <w:pPr>
              <w:pStyle w:val="14"/>
            </w:pPr>
            <w:r>
              <w:t>其中：财政    资金</w:t>
            </w:r>
          </w:p>
        </w:tc>
        <w:tc>
          <w:tcPr>
            <w:tcW w:w="1843" w:type="dxa"/>
            <w:vAlign w:val="center"/>
          </w:tcPr>
          <w:p>
            <w:pPr>
              <w:pStyle w:val="13"/>
            </w:pPr>
            <w:r>
              <w:t>2050000.00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维持博物馆正常运转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1.通过使用刚性支出运转费用，保证天津市滨海新区文保中心三个场馆免费向公众开放，确保网络正常使用，水电正常供应，物业及采暖等项目正常运行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免费开放场馆数量</w:t>
            </w:r>
          </w:p>
        </w:tc>
        <w:tc>
          <w:tcPr>
            <w:tcW w:w="3430" w:type="dxa"/>
            <w:vAlign w:val="center"/>
          </w:tcPr>
          <w:p>
            <w:pPr>
              <w:pStyle w:val="13"/>
            </w:pPr>
            <w:r>
              <w:t>免费开放场馆数量</w:t>
            </w:r>
          </w:p>
        </w:tc>
        <w:tc>
          <w:tcPr>
            <w:tcW w:w="2551" w:type="dxa"/>
            <w:vAlign w:val="center"/>
          </w:tcPr>
          <w:p>
            <w:pPr>
              <w:pStyle w:val="13"/>
            </w:pPr>
            <w:r>
              <w:t>≥3座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场馆正常开放率</w:t>
            </w:r>
          </w:p>
        </w:tc>
        <w:tc>
          <w:tcPr>
            <w:tcW w:w="3430" w:type="dxa"/>
            <w:vAlign w:val="center"/>
          </w:tcPr>
          <w:p>
            <w:pPr>
              <w:pStyle w:val="13"/>
            </w:pPr>
            <w:r>
              <w:t>场馆正常开放率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场馆维修响应时长</w:t>
            </w:r>
          </w:p>
        </w:tc>
        <w:tc>
          <w:tcPr>
            <w:tcW w:w="3430" w:type="dxa"/>
            <w:vAlign w:val="center"/>
          </w:tcPr>
          <w:p>
            <w:pPr>
              <w:pStyle w:val="13"/>
            </w:pPr>
            <w:r>
              <w:t>场馆维修响应时长</w:t>
            </w:r>
          </w:p>
        </w:tc>
        <w:tc>
          <w:tcPr>
            <w:tcW w:w="2551" w:type="dxa"/>
            <w:vAlign w:val="center"/>
          </w:tcPr>
          <w:p>
            <w:pPr>
              <w:pStyle w:val="13"/>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免费开放资金成本</w:t>
            </w:r>
          </w:p>
        </w:tc>
        <w:tc>
          <w:tcPr>
            <w:tcW w:w="3430" w:type="dxa"/>
            <w:vAlign w:val="center"/>
          </w:tcPr>
          <w:p>
            <w:pPr>
              <w:pStyle w:val="13"/>
            </w:pPr>
            <w:r>
              <w:t>免费开放资金成本</w:t>
            </w:r>
          </w:p>
        </w:tc>
        <w:tc>
          <w:tcPr>
            <w:tcW w:w="2551" w:type="dxa"/>
            <w:vAlign w:val="center"/>
          </w:tcPr>
          <w:p>
            <w:pPr>
              <w:pStyle w:val="13"/>
            </w:pPr>
            <w:r>
              <w:t>≤205万元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保证场馆面向群众正常开放</w:t>
            </w:r>
          </w:p>
        </w:tc>
        <w:tc>
          <w:tcPr>
            <w:tcW w:w="3430" w:type="dxa"/>
            <w:vAlign w:val="center"/>
          </w:tcPr>
          <w:p>
            <w:pPr>
              <w:pStyle w:val="13"/>
            </w:pPr>
            <w:r>
              <w:t>保证场馆面向群众正常开放</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参观群众满意度</w:t>
            </w:r>
          </w:p>
        </w:tc>
        <w:tc>
          <w:tcPr>
            <w:tcW w:w="3430" w:type="dxa"/>
            <w:vAlign w:val="center"/>
          </w:tcPr>
          <w:p>
            <w:pPr>
              <w:pStyle w:val="13"/>
            </w:pPr>
            <w:r>
              <w:t>参观群众满意度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5" w:name="_Toc_4_4_0000000039"/>
      <w:r>
        <w:rPr>
          <w:rFonts w:ascii="方正仿宋_GBK" w:hAnsi="方正仿宋_GBK" w:eastAsia="方正仿宋_GBK" w:cs="方正仿宋_GBK"/>
          <w:sz w:val="28"/>
        </w:rPr>
        <w:t>36.天津市财政局关于提前下达2024年博物馆纪念馆免费开放中央补助资金的通知（津财教指〔2023〕88号）绩效目标表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天津市财政局关于提前下达2024年博物馆纪念馆免费开放中央补助资金的通知（津财教指〔2023〕88号）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452.00</w:t>
            </w:r>
          </w:p>
        </w:tc>
        <w:tc>
          <w:tcPr>
            <w:tcW w:w="1587" w:type="dxa"/>
            <w:vAlign w:val="center"/>
          </w:tcPr>
          <w:p>
            <w:pPr>
              <w:pStyle w:val="14"/>
            </w:pPr>
            <w:r>
              <w:t>其中：财政    资金</w:t>
            </w:r>
          </w:p>
        </w:tc>
        <w:tc>
          <w:tcPr>
            <w:tcW w:w="1843" w:type="dxa"/>
            <w:vAlign w:val="center"/>
          </w:tcPr>
          <w:p>
            <w:pPr>
              <w:pStyle w:val="13"/>
            </w:pPr>
            <w:r>
              <w:t>452.00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提升博物馆的展馆质量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1.为提升滨海新区博物馆为观众服务的水平和能力，提升展馆质量，改善导览水平，丰富展览社教形式，为观众提供更加安全和全面参观体验，保证滨海新区博物馆免费开放后正常运转。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组织各类展览活动数量</w:t>
            </w:r>
          </w:p>
        </w:tc>
        <w:tc>
          <w:tcPr>
            <w:tcW w:w="3430" w:type="dxa"/>
            <w:vAlign w:val="center"/>
          </w:tcPr>
          <w:p>
            <w:pPr>
              <w:pStyle w:val="13"/>
            </w:pPr>
            <w:r>
              <w:t>组织各类展览活动数量</w:t>
            </w:r>
          </w:p>
        </w:tc>
        <w:tc>
          <w:tcPr>
            <w:tcW w:w="2551" w:type="dxa"/>
            <w:vAlign w:val="center"/>
          </w:tcPr>
          <w:p>
            <w:pPr>
              <w:pStyle w:val="13"/>
            </w:pPr>
            <w:r>
              <w:t>&gt;10个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展览、活动举办完成率</w:t>
            </w:r>
          </w:p>
        </w:tc>
        <w:tc>
          <w:tcPr>
            <w:tcW w:w="3430" w:type="dxa"/>
            <w:vAlign w:val="center"/>
          </w:tcPr>
          <w:p>
            <w:pPr>
              <w:pStyle w:val="13"/>
            </w:pPr>
            <w:r>
              <w:t>展览、活动举办完成率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资金使用合规率</w:t>
            </w:r>
          </w:p>
        </w:tc>
        <w:tc>
          <w:tcPr>
            <w:tcW w:w="3430" w:type="dxa"/>
            <w:vAlign w:val="center"/>
          </w:tcPr>
          <w:p>
            <w:pPr>
              <w:pStyle w:val="13"/>
            </w:pPr>
            <w:r>
              <w:t>资金使用合规率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补助金额</w:t>
            </w:r>
          </w:p>
        </w:tc>
        <w:tc>
          <w:tcPr>
            <w:tcW w:w="3430" w:type="dxa"/>
            <w:vAlign w:val="center"/>
          </w:tcPr>
          <w:p>
            <w:pPr>
              <w:pStyle w:val="13"/>
            </w:pPr>
            <w:r>
              <w:t>补助金额</w:t>
            </w:r>
          </w:p>
        </w:tc>
        <w:tc>
          <w:tcPr>
            <w:tcW w:w="2551" w:type="dxa"/>
            <w:vAlign w:val="center"/>
          </w:tcPr>
          <w:p>
            <w:pPr>
              <w:pStyle w:val="13"/>
            </w:pPr>
            <w:r>
              <w:t>≤452元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场馆开放时限</w:t>
            </w:r>
          </w:p>
        </w:tc>
        <w:tc>
          <w:tcPr>
            <w:tcW w:w="3430" w:type="dxa"/>
            <w:vAlign w:val="center"/>
          </w:tcPr>
          <w:p>
            <w:pPr>
              <w:pStyle w:val="13"/>
            </w:pPr>
            <w:r>
              <w:t>场馆开放时限</w:t>
            </w:r>
          </w:p>
        </w:tc>
        <w:tc>
          <w:tcPr>
            <w:tcW w:w="2551" w:type="dxa"/>
            <w:vAlign w:val="center"/>
          </w:tcPr>
          <w:p>
            <w:pPr>
              <w:pStyle w:val="13"/>
            </w:pPr>
            <w:r>
              <w:t>≥300天/年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开展社教活动数量</w:t>
            </w:r>
          </w:p>
        </w:tc>
        <w:tc>
          <w:tcPr>
            <w:tcW w:w="3430" w:type="dxa"/>
            <w:vAlign w:val="center"/>
          </w:tcPr>
          <w:p>
            <w:pPr>
              <w:pStyle w:val="13"/>
            </w:pPr>
            <w:r>
              <w:t>开展社教活动数量</w:t>
            </w:r>
          </w:p>
        </w:tc>
        <w:tc>
          <w:tcPr>
            <w:tcW w:w="2551" w:type="dxa"/>
            <w:vAlign w:val="center"/>
          </w:tcPr>
          <w:p>
            <w:pPr>
              <w:pStyle w:val="13"/>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新闻媒体正面宣传报道数量</w:t>
            </w:r>
          </w:p>
        </w:tc>
        <w:tc>
          <w:tcPr>
            <w:tcW w:w="3430" w:type="dxa"/>
            <w:vAlign w:val="center"/>
          </w:tcPr>
          <w:p>
            <w:pPr>
              <w:pStyle w:val="13"/>
            </w:pPr>
            <w:r>
              <w:t>新闻媒体正面宣传报道数量</w:t>
            </w:r>
          </w:p>
        </w:tc>
        <w:tc>
          <w:tcPr>
            <w:tcW w:w="2551" w:type="dxa"/>
            <w:vAlign w:val="center"/>
          </w:tcPr>
          <w:p>
            <w:pPr>
              <w:pStyle w:val="13"/>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公众满意度</w:t>
            </w:r>
          </w:p>
        </w:tc>
        <w:tc>
          <w:tcPr>
            <w:tcW w:w="3430" w:type="dxa"/>
            <w:vAlign w:val="center"/>
          </w:tcPr>
          <w:p>
            <w:pPr>
              <w:pStyle w:val="13"/>
            </w:pPr>
            <w:r>
              <w:t>公众满意度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6" w:name="_Toc_4_4_0000000040"/>
      <w:r>
        <w:rPr>
          <w:rFonts w:ascii="方正仿宋_GBK" w:hAnsi="方正仿宋_GBK" w:eastAsia="方正仿宋_GBK" w:cs="方正仿宋_GBK"/>
          <w:sz w:val="28"/>
        </w:rPr>
        <w:t>37.2025年文保中心博物馆免费开放资金绩效目标表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2025年文保中心博物馆免费开放资金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843" w:type="dxa"/>
            <w:vAlign w:val="center"/>
          </w:tcPr>
          <w:p>
            <w:pPr>
              <w:pStyle w:val="13"/>
            </w:pPr>
            <w:r>
              <w:t>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利用免费开放资金更好的维护博物馆的基础设施，为民众提供更好的服务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1.利用免费开放资金更好的完善博物馆的基础设施建设，提高国家以及公众对于博物馆的重视程度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免费开放场馆数量</w:t>
            </w:r>
          </w:p>
        </w:tc>
        <w:tc>
          <w:tcPr>
            <w:tcW w:w="3430" w:type="dxa"/>
            <w:vAlign w:val="center"/>
          </w:tcPr>
          <w:p>
            <w:pPr>
              <w:pStyle w:val="13"/>
            </w:pPr>
            <w:r>
              <w:t>免费开放场馆数量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免费开放资金利用率</w:t>
            </w:r>
          </w:p>
        </w:tc>
        <w:tc>
          <w:tcPr>
            <w:tcW w:w="3430" w:type="dxa"/>
            <w:vAlign w:val="center"/>
          </w:tcPr>
          <w:p>
            <w:pPr>
              <w:pStyle w:val="13"/>
            </w:pPr>
            <w:r>
              <w:t>免费开放资金利用率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免费开放时间</w:t>
            </w:r>
          </w:p>
        </w:tc>
        <w:tc>
          <w:tcPr>
            <w:tcW w:w="3430" w:type="dxa"/>
            <w:vAlign w:val="center"/>
          </w:tcPr>
          <w:p>
            <w:pPr>
              <w:pStyle w:val="13"/>
            </w:pPr>
            <w:r>
              <w:t>免费开放时间</w:t>
            </w:r>
          </w:p>
        </w:tc>
        <w:tc>
          <w:tcPr>
            <w:tcW w:w="2551" w:type="dxa"/>
            <w:vAlign w:val="center"/>
          </w:tcPr>
          <w:p>
            <w:pPr>
              <w:pStyle w:val="13"/>
            </w:pPr>
            <w:r>
              <w:t>≥317天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免费开放资金成本</w:t>
            </w:r>
          </w:p>
        </w:tc>
        <w:tc>
          <w:tcPr>
            <w:tcW w:w="3430" w:type="dxa"/>
            <w:vAlign w:val="center"/>
          </w:tcPr>
          <w:p>
            <w:pPr>
              <w:pStyle w:val="13"/>
            </w:pPr>
            <w:r>
              <w:t>免费开放资金成本</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国家及公众对文物保护的重视程度</w:t>
            </w:r>
          </w:p>
        </w:tc>
        <w:tc>
          <w:tcPr>
            <w:tcW w:w="3430" w:type="dxa"/>
            <w:vAlign w:val="center"/>
          </w:tcPr>
          <w:p>
            <w:pPr>
              <w:pStyle w:val="13"/>
            </w:pPr>
            <w:r>
              <w:t>国家及公众对文物保护的重视程度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参观群众满意度</w:t>
            </w:r>
          </w:p>
        </w:tc>
        <w:tc>
          <w:tcPr>
            <w:tcW w:w="3430" w:type="dxa"/>
            <w:vAlign w:val="center"/>
          </w:tcPr>
          <w:p>
            <w:pPr>
              <w:pStyle w:val="13"/>
            </w:pPr>
            <w:r>
              <w:t>参观群众满意度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7" w:name="_Toc_4_4_0000000041"/>
      <w:r>
        <w:rPr>
          <w:rFonts w:ascii="方正仿宋_GBK" w:hAnsi="方正仿宋_GBK" w:eastAsia="方正仿宋_GBK" w:cs="方正仿宋_GBK"/>
          <w:sz w:val="28"/>
        </w:rPr>
        <w:t>38.2025年文保中心大沽口炮台保护规划费用（结余结转）（自有资金）绩效目标表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2025年文保中心大沽口炮台保护规划费用（结余结转）（自有资金）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用于对大沽口炮台的保护以及合理规划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1.通过对大沽口炮台的保护以及合理规划，以提升群众满意度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保护规划项目数量</w:t>
            </w:r>
          </w:p>
        </w:tc>
        <w:tc>
          <w:tcPr>
            <w:tcW w:w="3430" w:type="dxa"/>
            <w:vAlign w:val="center"/>
          </w:tcPr>
          <w:p>
            <w:pPr>
              <w:pStyle w:val="13"/>
            </w:pPr>
            <w:r>
              <w:t>保护规划项目数量</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保护规划项目完成率</w:t>
            </w:r>
          </w:p>
        </w:tc>
        <w:tc>
          <w:tcPr>
            <w:tcW w:w="3430" w:type="dxa"/>
            <w:vAlign w:val="center"/>
          </w:tcPr>
          <w:p>
            <w:pPr>
              <w:pStyle w:val="13"/>
            </w:pPr>
            <w:r>
              <w:t>保护规划项目完成率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保护规划项目完成时间</w:t>
            </w:r>
          </w:p>
        </w:tc>
        <w:tc>
          <w:tcPr>
            <w:tcW w:w="3430" w:type="dxa"/>
            <w:vAlign w:val="center"/>
          </w:tcPr>
          <w:p>
            <w:pPr>
              <w:pStyle w:val="13"/>
            </w:pPr>
            <w:r>
              <w:t>保护规划项目完成时间</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保护规划项目成本</w:t>
            </w:r>
          </w:p>
        </w:tc>
        <w:tc>
          <w:tcPr>
            <w:tcW w:w="3430" w:type="dxa"/>
            <w:vAlign w:val="center"/>
          </w:tcPr>
          <w:p>
            <w:pPr>
              <w:pStyle w:val="13"/>
            </w:pPr>
            <w:r>
              <w:t>保护规划项目成本</w:t>
            </w:r>
          </w:p>
        </w:tc>
        <w:tc>
          <w:tcPr>
            <w:tcW w:w="2551" w:type="dxa"/>
            <w:vAlign w:val="center"/>
          </w:tcPr>
          <w:p>
            <w:pPr>
              <w:pStyle w:val="13"/>
            </w:pPr>
            <w:r>
              <w:t>≤100000元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国家及公众对文物保护的重视度</w:t>
            </w:r>
          </w:p>
        </w:tc>
        <w:tc>
          <w:tcPr>
            <w:tcW w:w="3430" w:type="dxa"/>
            <w:vAlign w:val="center"/>
          </w:tcPr>
          <w:p>
            <w:pPr>
              <w:pStyle w:val="13"/>
            </w:pPr>
            <w:r>
              <w:t>国家及公众对文物保护的重视度</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8" w:name="_Toc_4_4_0000000042"/>
      <w:r>
        <w:rPr>
          <w:rFonts w:ascii="方正仿宋_GBK" w:hAnsi="方正仿宋_GBK" w:eastAsia="方正仿宋_GBK" w:cs="方正仿宋_GBK"/>
          <w:sz w:val="28"/>
        </w:rPr>
        <w:t>39.2025年文保中心单位资金（自有资金）（经营性收入）绩效目标表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2025年文保中心单位资金（自有资金）（经营性收入）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2000000.00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用于结算工程款以及物业园林管理费用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1.通过对文物的修缮、周边园林环境的保护以及物业管理，结算工程款以及物业园林管理费用，以提高公众对文物保护的重视程度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清偿款项数量</w:t>
            </w:r>
          </w:p>
        </w:tc>
        <w:tc>
          <w:tcPr>
            <w:tcW w:w="3430" w:type="dxa"/>
            <w:vAlign w:val="center"/>
          </w:tcPr>
          <w:p>
            <w:pPr>
              <w:pStyle w:val="13"/>
            </w:pPr>
            <w:r>
              <w:t>清偿款项数量</w:t>
            </w:r>
          </w:p>
        </w:tc>
        <w:tc>
          <w:tcPr>
            <w:tcW w:w="2551" w:type="dxa"/>
            <w:vAlign w:val="center"/>
          </w:tcPr>
          <w:p>
            <w:pPr>
              <w:pStyle w:val="13"/>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清偿款项完成时间</w:t>
            </w:r>
          </w:p>
        </w:tc>
        <w:tc>
          <w:tcPr>
            <w:tcW w:w="3430" w:type="dxa"/>
            <w:vAlign w:val="center"/>
          </w:tcPr>
          <w:p>
            <w:pPr>
              <w:pStyle w:val="13"/>
            </w:pPr>
            <w:r>
              <w:t>清偿款项完成时间</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清偿款项完成率</w:t>
            </w:r>
          </w:p>
        </w:tc>
        <w:tc>
          <w:tcPr>
            <w:tcW w:w="3430" w:type="dxa"/>
            <w:vAlign w:val="center"/>
          </w:tcPr>
          <w:p>
            <w:pPr>
              <w:pStyle w:val="13"/>
            </w:pPr>
            <w:r>
              <w:t>清偿款项完成率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清偿款项成本</w:t>
            </w:r>
          </w:p>
        </w:tc>
        <w:tc>
          <w:tcPr>
            <w:tcW w:w="3430" w:type="dxa"/>
            <w:vAlign w:val="center"/>
          </w:tcPr>
          <w:p>
            <w:pPr>
              <w:pStyle w:val="13"/>
            </w:pPr>
            <w:r>
              <w:t>清偿款项成本</w:t>
            </w:r>
          </w:p>
        </w:tc>
        <w:tc>
          <w:tcPr>
            <w:tcW w:w="2551" w:type="dxa"/>
            <w:vAlign w:val="center"/>
          </w:tcPr>
          <w:p>
            <w:pPr>
              <w:pStyle w:val="13"/>
            </w:pPr>
            <w:r>
              <w:t>≤2000000元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国家及公众对文物保护意识的认识度</w:t>
            </w:r>
          </w:p>
        </w:tc>
        <w:tc>
          <w:tcPr>
            <w:tcW w:w="3430" w:type="dxa"/>
            <w:vAlign w:val="center"/>
          </w:tcPr>
          <w:p>
            <w:pPr>
              <w:pStyle w:val="13"/>
            </w:pPr>
            <w:r>
              <w:t>国家及公众对文物保护意识的认识度</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9" w:name="_Toc_4_4_0000000043"/>
      <w:r>
        <w:rPr>
          <w:rFonts w:ascii="方正仿宋_GBK" w:hAnsi="方正仿宋_GBK" w:eastAsia="方正仿宋_GBK" w:cs="方正仿宋_GBK"/>
          <w:sz w:val="28"/>
        </w:rPr>
        <w:t>40.2025年文保中心结转单位资金（自有资金）（结余结转）绩效目标表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2025年文保中心结转单位资金（自有资金）（结余结转）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264895.80</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264895.80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支付古林博物馆质保金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1.通过对古林博物馆的改造升级，提高国家及公众对于文物保护的重视程度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3430" w:type="dxa"/>
            <w:vAlign w:val="center"/>
          </w:tcPr>
          <w:p>
            <w:pPr>
              <w:pStyle w:val="13"/>
            </w:pPr>
            <w:r>
              <w:t>项目数量</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项目款支付完成率</w:t>
            </w:r>
          </w:p>
        </w:tc>
        <w:tc>
          <w:tcPr>
            <w:tcW w:w="3430" w:type="dxa"/>
            <w:vAlign w:val="center"/>
          </w:tcPr>
          <w:p>
            <w:pPr>
              <w:pStyle w:val="13"/>
            </w:pPr>
            <w:r>
              <w:t>项目款支付完成率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项目支付完成时间</w:t>
            </w:r>
          </w:p>
        </w:tc>
        <w:tc>
          <w:tcPr>
            <w:tcW w:w="3430" w:type="dxa"/>
            <w:vAlign w:val="center"/>
          </w:tcPr>
          <w:p>
            <w:pPr>
              <w:pStyle w:val="13"/>
            </w:pPr>
            <w:r>
              <w:t>项目支付完成时间</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项目款成本</w:t>
            </w:r>
          </w:p>
        </w:tc>
        <w:tc>
          <w:tcPr>
            <w:tcW w:w="3430" w:type="dxa"/>
            <w:vAlign w:val="center"/>
          </w:tcPr>
          <w:p>
            <w:pPr>
              <w:pStyle w:val="13"/>
            </w:pPr>
            <w:r>
              <w:t>古林博物馆质保金成本</w:t>
            </w:r>
          </w:p>
        </w:tc>
        <w:tc>
          <w:tcPr>
            <w:tcW w:w="2551" w:type="dxa"/>
            <w:vAlign w:val="center"/>
          </w:tcPr>
          <w:p>
            <w:pPr>
              <w:pStyle w:val="13"/>
            </w:pPr>
            <w:r>
              <w:t>≤264895.8元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国家及公众对文物保护的重视程度</w:t>
            </w:r>
          </w:p>
        </w:tc>
        <w:tc>
          <w:tcPr>
            <w:tcW w:w="3430" w:type="dxa"/>
            <w:vAlign w:val="center"/>
          </w:tcPr>
          <w:p>
            <w:pPr>
              <w:pStyle w:val="13"/>
            </w:pPr>
            <w:r>
              <w:t>国家及公众对文物保护的重视程度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0" w:name="_Toc_4_4_0000000044"/>
      <w:r>
        <w:rPr>
          <w:rFonts w:ascii="方正仿宋_GBK" w:hAnsi="方正仿宋_GBK" w:eastAsia="方正仿宋_GBK" w:cs="方正仿宋_GBK"/>
          <w:sz w:val="28"/>
        </w:rPr>
        <w:t>41.2025年一般债券付息支出（教育文化）绩效目标表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2025年一般债券付息支出（教育文化）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149096.00</w:t>
            </w:r>
          </w:p>
        </w:tc>
        <w:tc>
          <w:tcPr>
            <w:tcW w:w="1587" w:type="dxa"/>
            <w:vAlign w:val="center"/>
          </w:tcPr>
          <w:p>
            <w:pPr>
              <w:pStyle w:val="14"/>
            </w:pPr>
            <w:r>
              <w:t>其中：财政    资金</w:t>
            </w:r>
          </w:p>
        </w:tc>
        <w:tc>
          <w:tcPr>
            <w:tcW w:w="1843" w:type="dxa"/>
            <w:vAlign w:val="center"/>
          </w:tcPr>
          <w:p>
            <w:pPr>
              <w:pStyle w:val="13"/>
            </w:pPr>
            <w:r>
              <w:t>149096.00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2025年一般债券付息支出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1.通过按时偿还一般债券利息，保障债权人权利，保障项目顺利进行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支付银行利息合同数量</w:t>
            </w:r>
          </w:p>
        </w:tc>
        <w:tc>
          <w:tcPr>
            <w:tcW w:w="3430" w:type="dxa"/>
            <w:vAlign w:val="center"/>
          </w:tcPr>
          <w:p>
            <w:pPr>
              <w:pStyle w:val="13"/>
            </w:pPr>
            <w:r>
              <w:t>支付银行利息合同数量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利息支付合规率</w:t>
            </w:r>
          </w:p>
        </w:tc>
        <w:tc>
          <w:tcPr>
            <w:tcW w:w="3430" w:type="dxa"/>
            <w:vAlign w:val="center"/>
          </w:tcPr>
          <w:p>
            <w:pPr>
              <w:pStyle w:val="13"/>
            </w:pPr>
            <w:r>
              <w:t>利息支付合规率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利息支付完成时间</w:t>
            </w:r>
          </w:p>
        </w:tc>
        <w:tc>
          <w:tcPr>
            <w:tcW w:w="3430" w:type="dxa"/>
            <w:vAlign w:val="center"/>
          </w:tcPr>
          <w:p>
            <w:pPr>
              <w:pStyle w:val="13"/>
            </w:pPr>
            <w:r>
              <w:t>利息支付完成时间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合同利率</w:t>
            </w:r>
          </w:p>
        </w:tc>
        <w:tc>
          <w:tcPr>
            <w:tcW w:w="3430" w:type="dxa"/>
            <w:vAlign w:val="center"/>
          </w:tcPr>
          <w:p>
            <w:pPr>
              <w:pStyle w:val="13"/>
            </w:pPr>
            <w:r>
              <w:t>合同利率</w:t>
            </w:r>
          </w:p>
        </w:tc>
        <w:tc>
          <w:tcPr>
            <w:tcW w:w="2551" w:type="dxa"/>
            <w:vAlign w:val="center"/>
          </w:tcPr>
          <w:p>
            <w:pPr>
              <w:pStyle w:val="13"/>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偿还本息</w:t>
            </w:r>
          </w:p>
        </w:tc>
        <w:tc>
          <w:tcPr>
            <w:tcW w:w="3430" w:type="dxa"/>
            <w:vAlign w:val="center"/>
          </w:tcPr>
          <w:p>
            <w:pPr>
              <w:pStyle w:val="13"/>
            </w:pPr>
            <w:r>
              <w:t>偿还本息</w:t>
            </w:r>
          </w:p>
        </w:tc>
        <w:tc>
          <w:tcPr>
            <w:tcW w:w="2551" w:type="dxa"/>
            <w:vAlign w:val="center"/>
          </w:tcPr>
          <w:p>
            <w:pPr>
              <w:pStyle w:val="13"/>
            </w:pPr>
            <w:r>
              <w:t>≤149096元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保障债权人权利，保障项目顺利进行</w:t>
            </w:r>
          </w:p>
        </w:tc>
        <w:tc>
          <w:tcPr>
            <w:tcW w:w="3430" w:type="dxa"/>
            <w:vAlign w:val="center"/>
          </w:tcPr>
          <w:p>
            <w:pPr>
              <w:pStyle w:val="13"/>
            </w:pPr>
            <w:r>
              <w:t>保障债权人权利，保障项目顺利进行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1" w:name="_Toc_4_4_0000000045"/>
      <w:r>
        <w:rPr>
          <w:rFonts w:ascii="方正仿宋_GBK" w:hAnsi="方正仿宋_GBK" w:eastAsia="方正仿宋_GBK" w:cs="方正仿宋_GBK"/>
          <w:sz w:val="28"/>
        </w:rPr>
        <w:t>42.天津市财政局关于提前下达2024年国家文物保护资金预算的通知（津财教指〔2023〕86号）绩效目标表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天津市财政局关于提前下达2024年国家文物保护资金预算的通知（津财教指〔2023〕86号）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231519.00</w:t>
            </w:r>
          </w:p>
        </w:tc>
        <w:tc>
          <w:tcPr>
            <w:tcW w:w="1587" w:type="dxa"/>
            <w:vAlign w:val="center"/>
          </w:tcPr>
          <w:p>
            <w:pPr>
              <w:pStyle w:val="14"/>
            </w:pPr>
            <w:r>
              <w:t>其中：财政    资金</w:t>
            </w:r>
          </w:p>
        </w:tc>
        <w:tc>
          <w:tcPr>
            <w:tcW w:w="1843" w:type="dxa"/>
            <w:vAlign w:val="center"/>
          </w:tcPr>
          <w:p>
            <w:pPr>
              <w:pStyle w:val="13"/>
            </w:pPr>
            <w:r>
              <w:t>231519.00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通过炮台的预防性保护工作以及安防的系统升级，从而更好的保护文物，提升对文物的保护度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大沽口炮台遗址博物馆展厅中文物保存环境质量检测与监控，建立比较完善的文物保存环境微调控系统，运用调控手段对文物保存微环境实施有效的“稳定、洁净”调控；定制展柜或原展柜进行升级替换，并配置恒湿设备进一步保护藏品展出的安全性，提升该馆藏品预防性保护的综合能力。</w:t>
            </w:r>
          </w:p>
          <w:p>
            <w:pPr>
              <w:pStyle w:val="13"/>
            </w:pPr>
            <w:r>
              <w:t>2.大沽口炮台遗址为全国重点文物保护单位，均属一级风险单位，其安全防范系统应为一级安防系统，通过对炮台遗址视频监控、入侵报警及高压脉冲电子围栏等整体系统改造，来保障文物建筑保护区域内的公共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提升改造平柜</w:t>
            </w:r>
          </w:p>
        </w:tc>
        <w:tc>
          <w:tcPr>
            <w:tcW w:w="3430" w:type="dxa"/>
            <w:vAlign w:val="center"/>
          </w:tcPr>
          <w:p>
            <w:pPr>
              <w:pStyle w:val="13"/>
            </w:pPr>
            <w:r>
              <w:t>提升改造平柜</w:t>
            </w:r>
          </w:p>
        </w:tc>
        <w:tc>
          <w:tcPr>
            <w:tcW w:w="2551" w:type="dxa"/>
            <w:vAlign w:val="center"/>
          </w:tcPr>
          <w:p>
            <w:pPr>
              <w:pStyle w:val="13"/>
            </w:pPr>
            <w:r>
              <w:t>≥9台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配置独立柜</w:t>
            </w:r>
          </w:p>
        </w:tc>
        <w:tc>
          <w:tcPr>
            <w:tcW w:w="3430" w:type="dxa"/>
            <w:vAlign w:val="center"/>
          </w:tcPr>
          <w:p>
            <w:pPr>
              <w:pStyle w:val="13"/>
            </w:pPr>
            <w:r>
              <w:t>配置独立柜</w:t>
            </w:r>
          </w:p>
        </w:tc>
        <w:tc>
          <w:tcPr>
            <w:tcW w:w="2551" w:type="dxa"/>
            <w:vAlign w:val="center"/>
          </w:tcPr>
          <w:p>
            <w:pPr>
              <w:pStyle w:val="13"/>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配置悬浮柜</w:t>
            </w:r>
          </w:p>
        </w:tc>
        <w:tc>
          <w:tcPr>
            <w:tcW w:w="3430" w:type="dxa"/>
            <w:vAlign w:val="center"/>
          </w:tcPr>
          <w:p>
            <w:pPr>
              <w:pStyle w:val="13"/>
            </w:pPr>
            <w:r>
              <w:t>配置悬浮柜</w:t>
            </w:r>
          </w:p>
        </w:tc>
        <w:tc>
          <w:tcPr>
            <w:tcW w:w="2551" w:type="dxa"/>
            <w:vAlign w:val="center"/>
          </w:tcPr>
          <w:p>
            <w:pPr>
              <w:pStyle w:val="13"/>
            </w:pPr>
            <w:r>
              <w:t>≥6台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配置台面柜</w:t>
            </w:r>
          </w:p>
        </w:tc>
        <w:tc>
          <w:tcPr>
            <w:tcW w:w="3430" w:type="dxa"/>
            <w:vAlign w:val="center"/>
          </w:tcPr>
          <w:p>
            <w:pPr>
              <w:pStyle w:val="13"/>
            </w:pPr>
            <w:r>
              <w:t>配置台面柜</w:t>
            </w:r>
          </w:p>
        </w:tc>
        <w:tc>
          <w:tcPr>
            <w:tcW w:w="2551" w:type="dxa"/>
            <w:vAlign w:val="center"/>
          </w:tcPr>
          <w:p>
            <w:pPr>
              <w:pStyle w:val="13"/>
            </w:pPr>
            <w:r>
              <w:t>≥4台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配置玻璃围栏</w:t>
            </w:r>
          </w:p>
        </w:tc>
        <w:tc>
          <w:tcPr>
            <w:tcW w:w="3430" w:type="dxa"/>
            <w:vAlign w:val="center"/>
          </w:tcPr>
          <w:p>
            <w:pPr>
              <w:pStyle w:val="13"/>
            </w:pPr>
            <w:r>
              <w:t>配置玻璃围栏</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大沽口炮台遗址工程覆盖面积</w:t>
            </w:r>
          </w:p>
        </w:tc>
        <w:tc>
          <w:tcPr>
            <w:tcW w:w="3430" w:type="dxa"/>
            <w:vAlign w:val="center"/>
          </w:tcPr>
          <w:p>
            <w:pPr>
              <w:pStyle w:val="13"/>
            </w:pPr>
            <w:r>
              <w:t>大沽口炮台遗址工程覆盖面积</w:t>
            </w:r>
          </w:p>
        </w:tc>
        <w:tc>
          <w:tcPr>
            <w:tcW w:w="2551" w:type="dxa"/>
            <w:vAlign w:val="center"/>
          </w:tcPr>
          <w:p>
            <w:pPr>
              <w:pStyle w:val="13"/>
            </w:pPr>
            <w:r>
              <w:t>≥3900平方米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配置恒湿机</w:t>
            </w:r>
          </w:p>
        </w:tc>
        <w:tc>
          <w:tcPr>
            <w:tcW w:w="3430" w:type="dxa"/>
            <w:vAlign w:val="center"/>
          </w:tcPr>
          <w:p>
            <w:pPr>
              <w:pStyle w:val="13"/>
            </w:pPr>
            <w:r>
              <w:t>配置恒湿机</w:t>
            </w:r>
          </w:p>
        </w:tc>
        <w:tc>
          <w:tcPr>
            <w:tcW w:w="2551" w:type="dxa"/>
            <w:vAlign w:val="center"/>
          </w:tcPr>
          <w:p>
            <w:pPr>
              <w:pStyle w:val="13"/>
            </w:pPr>
            <w:r>
              <w:t>≥10台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3430" w:type="dxa"/>
            <w:vAlign w:val="center"/>
          </w:tcPr>
          <w:p>
            <w:pPr>
              <w:pStyle w:val="13"/>
            </w:pPr>
            <w:r>
              <w:t>项目验收合格率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安全事故发生率</w:t>
            </w:r>
          </w:p>
        </w:tc>
        <w:tc>
          <w:tcPr>
            <w:tcW w:w="3430" w:type="dxa"/>
            <w:vAlign w:val="center"/>
          </w:tcPr>
          <w:p>
            <w:pPr>
              <w:pStyle w:val="13"/>
            </w:pPr>
            <w:r>
              <w:t>安全事故发生率</w:t>
            </w: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国保单位的重大险情排除率</w:t>
            </w:r>
          </w:p>
        </w:tc>
        <w:tc>
          <w:tcPr>
            <w:tcW w:w="3430" w:type="dxa"/>
            <w:vAlign w:val="center"/>
          </w:tcPr>
          <w:p>
            <w:pPr>
              <w:pStyle w:val="13"/>
            </w:pPr>
            <w:r>
              <w:t>国保单位的重大险情排除率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馆藏珍贵文物和重要出土文物是抢救性保护修复率</w:t>
            </w:r>
          </w:p>
        </w:tc>
        <w:tc>
          <w:tcPr>
            <w:tcW w:w="3430" w:type="dxa"/>
            <w:vAlign w:val="center"/>
          </w:tcPr>
          <w:p>
            <w:pPr>
              <w:pStyle w:val="13"/>
            </w:pPr>
            <w:r>
              <w:t>馆藏珍贵文物和重要出土文物是抢救性保护修复率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文物毁损、违规修复发生率</w:t>
            </w:r>
          </w:p>
        </w:tc>
        <w:tc>
          <w:tcPr>
            <w:tcW w:w="3430" w:type="dxa"/>
            <w:vAlign w:val="center"/>
          </w:tcPr>
          <w:p>
            <w:pPr>
              <w:pStyle w:val="13"/>
            </w:pPr>
            <w:r>
              <w:t>文物毁损、违规修复发生率</w:t>
            </w:r>
          </w:p>
        </w:tc>
        <w:tc>
          <w:tcPr>
            <w:tcW w:w="2551" w:type="dxa"/>
            <w:vAlign w:val="center"/>
          </w:tcPr>
          <w:p>
            <w:pPr>
              <w:pStyle w:val="13"/>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项目按计划完成率</w:t>
            </w:r>
          </w:p>
        </w:tc>
        <w:tc>
          <w:tcPr>
            <w:tcW w:w="3430" w:type="dxa"/>
            <w:vAlign w:val="center"/>
          </w:tcPr>
          <w:p>
            <w:pPr>
              <w:pStyle w:val="13"/>
            </w:pPr>
            <w:r>
              <w:t>项目按计划完成率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竣工时间</w:t>
            </w:r>
          </w:p>
        </w:tc>
        <w:tc>
          <w:tcPr>
            <w:tcW w:w="3430" w:type="dxa"/>
            <w:vAlign w:val="center"/>
          </w:tcPr>
          <w:p>
            <w:pPr>
              <w:pStyle w:val="13"/>
            </w:pPr>
            <w:r>
              <w:t>竣工时间</w:t>
            </w:r>
          </w:p>
        </w:tc>
        <w:tc>
          <w:tcPr>
            <w:tcW w:w="2551" w:type="dxa"/>
            <w:vAlign w:val="center"/>
          </w:tcPr>
          <w:p>
            <w:pPr>
              <w:pStyle w:val="13"/>
            </w:pPr>
            <w:r>
              <w:t>2024年12月完成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文物预防性保护工作完成时间</w:t>
            </w:r>
          </w:p>
        </w:tc>
        <w:tc>
          <w:tcPr>
            <w:tcW w:w="3430" w:type="dxa"/>
            <w:vAlign w:val="center"/>
          </w:tcPr>
          <w:p>
            <w:pPr>
              <w:pStyle w:val="13"/>
            </w:pPr>
            <w:r>
              <w:t>文物预防性保护工作完成时间</w:t>
            </w:r>
          </w:p>
        </w:tc>
        <w:tc>
          <w:tcPr>
            <w:tcW w:w="2551" w:type="dxa"/>
            <w:vAlign w:val="center"/>
          </w:tcPr>
          <w:p>
            <w:pPr>
              <w:pStyle w:val="13"/>
            </w:pPr>
            <w:r>
              <w:t>2025年12月前完成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工程费用</w:t>
            </w:r>
          </w:p>
        </w:tc>
        <w:tc>
          <w:tcPr>
            <w:tcW w:w="3430" w:type="dxa"/>
            <w:vAlign w:val="center"/>
          </w:tcPr>
          <w:p>
            <w:pPr>
              <w:pStyle w:val="13"/>
            </w:pPr>
            <w:r>
              <w:t>工程费用</w:t>
            </w:r>
          </w:p>
        </w:tc>
        <w:tc>
          <w:tcPr>
            <w:tcW w:w="2551" w:type="dxa"/>
            <w:vAlign w:val="center"/>
          </w:tcPr>
          <w:p>
            <w:pPr>
              <w:pStyle w:val="13"/>
            </w:pPr>
            <w:r>
              <w:t>≤79700元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预防性保护费用</w:t>
            </w:r>
          </w:p>
        </w:tc>
        <w:tc>
          <w:tcPr>
            <w:tcW w:w="3430" w:type="dxa"/>
            <w:vAlign w:val="center"/>
          </w:tcPr>
          <w:p>
            <w:pPr>
              <w:pStyle w:val="13"/>
            </w:pPr>
            <w:r>
              <w:t>预防性保护费用</w:t>
            </w:r>
          </w:p>
        </w:tc>
        <w:tc>
          <w:tcPr>
            <w:tcW w:w="2551" w:type="dxa"/>
            <w:vAlign w:val="center"/>
          </w:tcPr>
          <w:p>
            <w:pPr>
              <w:pStyle w:val="13"/>
            </w:pPr>
            <w:r>
              <w:t>≤121799元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提升全国文物保护水平与全民文物保护意识</w:t>
            </w:r>
          </w:p>
        </w:tc>
        <w:tc>
          <w:tcPr>
            <w:tcW w:w="3430" w:type="dxa"/>
            <w:vAlign w:val="center"/>
          </w:tcPr>
          <w:p>
            <w:pPr>
              <w:pStyle w:val="13"/>
            </w:pPr>
            <w:r>
              <w:t>提升全国文物保护水平与全民文物保护意识</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有效促进对中华优秀传统文化传承</w:t>
            </w:r>
          </w:p>
        </w:tc>
        <w:tc>
          <w:tcPr>
            <w:tcW w:w="3430" w:type="dxa"/>
            <w:vAlign w:val="center"/>
          </w:tcPr>
          <w:p>
            <w:pPr>
              <w:pStyle w:val="13"/>
            </w:pPr>
            <w:r>
              <w:t>有效促进对中华优秀传统文化传承</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博物馆参观人员满意度</w:t>
            </w:r>
          </w:p>
        </w:tc>
        <w:tc>
          <w:tcPr>
            <w:tcW w:w="3430" w:type="dxa"/>
            <w:vAlign w:val="center"/>
          </w:tcPr>
          <w:p>
            <w:pPr>
              <w:pStyle w:val="13"/>
            </w:pPr>
            <w:r>
              <w:t>博物馆参观人员满意度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保护单位对文物保护满意度</w:t>
            </w:r>
          </w:p>
        </w:tc>
        <w:tc>
          <w:tcPr>
            <w:tcW w:w="3430" w:type="dxa"/>
            <w:vAlign w:val="center"/>
          </w:tcPr>
          <w:p>
            <w:pPr>
              <w:pStyle w:val="13"/>
            </w:pPr>
            <w:r>
              <w:t>保护单位对文物保护满意度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社会公众对文物保护满意度</w:t>
            </w:r>
          </w:p>
        </w:tc>
        <w:tc>
          <w:tcPr>
            <w:tcW w:w="3430" w:type="dxa"/>
            <w:vAlign w:val="center"/>
          </w:tcPr>
          <w:p>
            <w:pPr>
              <w:pStyle w:val="13"/>
            </w:pPr>
            <w:r>
              <w:t>社会公众对文物保护满意度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2" w:name="_Toc_4_4_0000000046"/>
      <w:r>
        <w:rPr>
          <w:rFonts w:ascii="方正仿宋_GBK" w:hAnsi="方正仿宋_GBK" w:eastAsia="方正仿宋_GBK" w:cs="方正仿宋_GBK"/>
          <w:sz w:val="28"/>
        </w:rPr>
        <w:t>43.天津市财政局关于提前下达2025年博物馆纪念馆免费开放中央补助资金的通知  津财教指【2024】124号绩效目标表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天津市财政局关于提前下达2025年博物馆纪念馆免费开放中央补助资金的通知  津财教指【2024】124号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1400000.00</w:t>
            </w:r>
          </w:p>
        </w:tc>
        <w:tc>
          <w:tcPr>
            <w:tcW w:w="1587" w:type="dxa"/>
            <w:vAlign w:val="center"/>
          </w:tcPr>
          <w:p>
            <w:pPr>
              <w:pStyle w:val="14"/>
            </w:pPr>
            <w:r>
              <w:t>其中：财政    资金</w:t>
            </w:r>
          </w:p>
        </w:tc>
        <w:tc>
          <w:tcPr>
            <w:tcW w:w="1843" w:type="dxa"/>
            <w:vAlign w:val="center"/>
          </w:tcPr>
          <w:p>
            <w:pPr>
              <w:pStyle w:val="13"/>
            </w:pPr>
            <w:r>
              <w:t>1400000.00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通过下达博物馆免费开放中央补助资金，完善博物馆设施，提升公众对于博物馆的满意度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1.通过下达博物馆免费开放中央补助资金，完善博物馆设施，提升公众对于博物馆的满意度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免费开放场馆数量</w:t>
            </w:r>
          </w:p>
        </w:tc>
        <w:tc>
          <w:tcPr>
            <w:tcW w:w="3430" w:type="dxa"/>
            <w:vAlign w:val="center"/>
          </w:tcPr>
          <w:p>
            <w:pPr>
              <w:pStyle w:val="13"/>
            </w:pPr>
            <w:r>
              <w:t>免费开放场馆数量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免费开放完成率</w:t>
            </w:r>
          </w:p>
        </w:tc>
        <w:tc>
          <w:tcPr>
            <w:tcW w:w="3430" w:type="dxa"/>
            <w:vAlign w:val="center"/>
          </w:tcPr>
          <w:p>
            <w:pPr>
              <w:pStyle w:val="13"/>
            </w:pPr>
            <w:r>
              <w:t>免费开放完成率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免费开放完成时间</w:t>
            </w:r>
          </w:p>
        </w:tc>
        <w:tc>
          <w:tcPr>
            <w:tcW w:w="3430" w:type="dxa"/>
            <w:vAlign w:val="center"/>
          </w:tcPr>
          <w:p>
            <w:pPr>
              <w:pStyle w:val="13"/>
            </w:pPr>
            <w:r>
              <w:t>免费开放完成时间</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免费开放补助资金成本</w:t>
            </w:r>
          </w:p>
        </w:tc>
        <w:tc>
          <w:tcPr>
            <w:tcW w:w="3430" w:type="dxa"/>
            <w:vAlign w:val="center"/>
          </w:tcPr>
          <w:p>
            <w:pPr>
              <w:pStyle w:val="13"/>
            </w:pPr>
            <w:r>
              <w:t>免费开放补助资金成本</w:t>
            </w:r>
          </w:p>
        </w:tc>
        <w:tc>
          <w:tcPr>
            <w:tcW w:w="2551" w:type="dxa"/>
            <w:vAlign w:val="center"/>
          </w:tcPr>
          <w:p>
            <w:pPr>
              <w:pStyle w:val="13"/>
            </w:pPr>
            <w:r>
              <w:t>≤140万元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公众对于博物馆的满意度</w:t>
            </w:r>
          </w:p>
        </w:tc>
        <w:tc>
          <w:tcPr>
            <w:tcW w:w="3430" w:type="dxa"/>
            <w:vAlign w:val="center"/>
          </w:tcPr>
          <w:p>
            <w:pPr>
              <w:pStyle w:val="13"/>
            </w:pPr>
            <w:r>
              <w:t>公众对于博物馆的满意度</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3" w:name="_Toc_4_4_0000000047"/>
      <w:r>
        <w:rPr>
          <w:rFonts w:ascii="方正仿宋_GBK" w:hAnsi="方正仿宋_GBK" w:eastAsia="方正仿宋_GBK" w:cs="方正仿宋_GBK"/>
          <w:sz w:val="28"/>
        </w:rPr>
        <w:t>44.天津市财政局关于提前下达2025年国家文物保护资金预算的通知  津财教指【2024】126号绩效目标表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天津市财政局关于提前下达2025年国家文物保护资金预算的通知  津财教指【2024】126号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7967000.00</w:t>
            </w:r>
          </w:p>
        </w:tc>
        <w:tc>
          <w:tcPr>
            <w:tcW w:w="1587" w:type="dxa"/>
            <w:vAlign w:val="center"/>
          </w:tcPr>
          <w:p>
            <w:pPr>
              <w:pStyle w:val="14"/>
            </w:pPr>
            <w:r>
              <w:t>其中：财政    资金</w:t>
            </w:r>
          </w:p>
        </w:tc>
        <w:tc>
          <w:tcPr>
            <w:tcW w:w="1843" w:type="dxa"/>
            <w:vAlign w:val="center"/>
          </w:tcPr>
          <w:p>
            <w:pPr>
              <w:pStyle w:val="13"/>
            </w:pPr>
            <w:r>
              <w:t>7967000.00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用于炮台环境整治以及大沽船坞修缮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1.通过下达国家文物保护资金，提高国家及公众对文物保护的重视程度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国家文物保护资金场馆数量</w:t>
            </w:r>
          </w:p>
        </w:tc>
        <w:tc>
          <w:tcPr>
            <w:tcW w:w="3430" w:type="dxa"/>
            <w:vAlign w:val="center"/>
          </w:tcPr>
          <w:p>
            <w:pPr>
              <w:pStyle w:val="13"/>
            </w:pPr>
            <w:r>
              <w:t>国家文物保护资金场馆数量</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国家文物保护资金完成率</w:t>
            </w:r>
          </w:p>
        </w:tc>
        <w:tc>
          <w:tcPr>
            <w:tcW w:w="3430" w:type="dxa"/>
            <w:vAlign w:val="center"/>
          </w:tcPr>
          <w:p>
            <w:pPr>
              <w:pStyle w:val="13"/>
            </w:pPr>
            <w:r>
              <w:t>国家文物保护资金完成率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国家文物保护资金完成时间</w:t>
            </w:r>
          </w:p>
        </w:tc>
        <w:tc>
          <w:tcPr>
            <w:tcW w:w="3430" w:type="dxa"/>
            <w:vAlign w:val="center"/>
          </w:tcPr>
          <w:p>
            <w:pPr>
              <w:pStyle w:val="13"/>
            </w:pPr>
            <w:r>
              <w:t>国家文物保护资金完成时间</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国家文物保护资金成本</w:t>
            </w:r>
          </w:p>
        </w:tc>
        <w:tc>
          <w:tcPr>
            <w:tcW w:w="3430" w:type="dxa"/>
            <w:vAlign w:val="center"/>
          </w:tcPr>
          <w:p>
            <w:pPr>
              <w:pStyle w:val="13"/>
            </w:pPr>
            <w:r>
              <w:t>国家文物保护资金成本</w:t>
            </w:r>
          </w:p>
        </w:tc>
        <w:tc>
          <w:tcPr>
            <w:tcW w:w="2551" w:type="dxa"/>
            <w:vAlign w:val="center"/>
          </w:tcPr>
          <w:p>
            <w:pPr>
              <w:pStyle w:val="13"/>
            </w:pPr>
            <w:r>
              <w:t>≤796.7万元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国家及公众对于文物保护的重视程度</w:t>
            </w:r>
          </w:p>
        </w:tc>
        <w:tc>
          <w:tcPr>
            <w:tcW w:w="3430" w:type="dxa"/>
            <w:vAlign w:val="center"/>
          </w:tcPr>
          <w:p>
            <w:pPr>
              <w:pStyle w:val="13"/>
            </w:pPr>
            <w:r>
              <w:t>国家及公众对于文物保护的重视程度</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4" w:name="_Toc_4_4_0000000048"/>
      <w:r>
        <w:rPr>
          <w:rFonts w:ascii="方正仿宋_GBK" w:hAnsi="方正仿宋_GBK" w:eastAsia="方正仿宋_GBK" w:cs="方正仿宋_GBK"/>
          <w:sz w:val="28"/>
        </w:rPr>
        <w:t>45.天津市财政局关于提前下达中央财政2024年林业草原生态保护恢复资金预算的通知（津财综指〔2023〕56号）—滨海新区文保中心绩效目标表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363203天津市滨海新区文物保护与旅游服务中心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天津市财政局关于提前下达中央财政2024年林业草原生态保护恢复资金预算的通知（津财综指〔2023〕56号）—滨海新区文保中心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5500000.00</w:t>
            </w:r>
          </w:p>
        </w:tc>
        <w:tc>
          <w:tcPr>
            <w:tcW w:w="1587" w:type="dxa"/>
            <w:vAlign w:val="center"/>
          </w:tcPr>
          <w:p>
            <w:pPr>
              <w:pStyle w:val="14"/>
            </w:pPr>
            <w:r>
              <w:t>其中：财政    资金</w:t>
            </w:r>
          </w:p>
        </w:tc>
        <w:tc>
          <w:tcPr>
            <w:tcW w:w="1843" w:type="dxa"/>
            <w:vAlign w:val="center"/>
          </w:tcPr>
          <w:p>
            <w:pPr>
              <w:pStyle w:val="13"/>
            </w:pPr>
            <w:r>
              <w:t>5500000.00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古林古海岸博物馆展区改造提升，购置相应设施设备，开展相应宣教工作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1.1.完成古林古海岸遗迹博物馆展区改造提升；</w:t>
            </w:r>
          </w:p>
          <w:p>
            <w:pPr>
              <w:pStyle w:val="13"/>
            </w:pPr>
            <w:r>
              <w:t>2.购置博物馆声光电设备，完成博物馆展柜展架制作及布展工作；</w:t>
            </w:r>
          </w:p>
          <w:p>
            <w:pPr>
              <w:pStyle w:val="13"/>
            </w:pPr>
            <w:r>
              <w:t>3.开发博物馆相关的宣教资料、视频课程等；</w:t>
            </w:r>
          </w:p>
          <w:p>
            <w:pPr>
              <w:pStyle w:val="13"/>
            </w:pPr>
            <w:r>
              <w:t>4.进一步增强博物馆开放展示能力，充分发挥博物馆对外宣教展览的功能性作用。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展区改造提升</w:t>
            </w:r>
          </w:p>
        </w:tc>
        <w:tc>
          <w:tcPr>
            <w:tcW w:w="3430" w:type="dxa"/>
            <w:vAlign w:val="center"/>
          </w:tcPr>
          <w:p>
            <w:pPr>
              <w:pStyle w:val="13"/>
            </w:pPr>
            <w:r>
              <w:t>展区改造提升</w:t>
            </w:r>
          </w:p>
        </w:tc>
        <w:tc>
          <w:tcPr>
            <w:tcW w:w="2551" w:type="dxa"/>
            <w:vAlign w:val="center"/>
          </w:tcPr>
          <w:p>
            <w:pPr>
              <w:pStyle w:val="13"/>
            </w:pPr>
            <w:r>
              <w:t>≥1235平方米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采购工程</w:t>
            </w:r>
          </w:p>
        </w:tc>
        <w:tc>
          <w:tcPr>
            <w:tcW w:w="3430" w:type="dxa"/>
            <w:vAlign w:val="center"/>
          </w:tcPr>
          <w:p>
            <w:pPr>
              <w:pStyle w:val="13"/>
            </w:pPr>
            <w:r>
              <w:t>采购工程</w:t>
            </w:r>
          </w:p>
        </w:tc>
        <w:tc>
          <w:tcPr>
            <w:tcW w:w="2551" w:type="dxa"/>
            <w:vAlign w:val="center"/>
          </w:tcPr>
          <w:p>
            <w:pPr>
              <w:pStyle w:val="13"/>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内容开发</w:t>
            </w:r>
          </w:p>
        </w:tc>
        <w:tc>
          <w:tcPr>
            <w:tcW w:w="3430" w:type="dxa"/>
            <w:vAlign w:val="center"/>
          </w:tcPr>
          <w:p>
            <w:pPr>
              <w:pStyle w:val="13"/>
            </w:pPr>
            <w:r>
              <w:t>内容开发</w:t>
            </w:r>
          </w:p>
        </w:tc>
        <w:tc>
          <w:tcPr>
            <w:tcW w:w="2551" w:type="dxa"/>
            <w:vAlign w:val="center"/>
          </w:tcPr>
          <w:p>
            <w:pPr>
              <w:pStyle w:val="13"/>
            </w:pPr>
            <w:r>
              <w:t>≥3套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项目采购合格率</w:t>
            </w:r>
          </w:p>
        </w:tc>
        <w:tc>
          <w:tcPr>
            <w:tcW w:w="3430" w:type="dxa"/>
            <w:vAlign w:val="center"/>
          </w:tcPr>
          <w:p>
            <w:pPr>
              <w:pStyle w:val="13"/>
            </w:pPr>
            <w:r>
              <w:t>项目采购合格率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博物馆展区改造提升</w:t>
            </w:r>
          </w:p>
        </w:tc>
        <w:tc>
          <w:tcPr>
            <w:tcW w:w="3430" w:type="dxa"/>
            <w:vAlign w:val="center"/>
          </w:tcPr>
          <w:p>
            <w:pPr>
              <w:pStyle w:val="13"/>
            </w:pPr>
            <w:r>
              <w:t>博物馆展区改造提升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博物馆展区改造提升以及采购工程</w:t>
            </w:r>
          </w:p>
        </w:tc>
        <w:tc>
          <w:tcPr>
            <w:tcW w:w="3430" w:type="dxa"/>
            <w:vAlign w:val="center"/>
          </w:tcPr>
          <w:p>
            <w:pPr>
              <w:pStyle w:val="13"/>
            </w:pPr>
            <w:r>
              <w:t>博物馆展区改造提升以及采购工程</w:t>
            </w:r>
          </w:p>
        </w:tc>
        <w:tc>
          <w:tcPr>
            <w:tcW w:w="2551" w:type="dxa"/>
            <w:vAlign w:val="center"/>
          </w:tcPr>
          <w:p>
            <w:pPr>
              <w:pStyle w:val="13"/>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宣教内容开发成本</w:t>
            </w:r>
          </w:p>
        </w:tc>
        <w:tc>
          <w:tcPr>
            <w:tcW w:w="3430" w:type="dxa"/>
            <w:vAlign w:val="center"/>
          </w:tcPr>
          <w:p>
            <w:pPr>
              <w:pStyle w:val="13"/>
            </w:pPr>
            <w:r>
              <w:t>宣教内容开发成本</w:t>
            </w:r>
          </w:p>
        </w:tc>
        <w:tc>
          <w:tcPr>
            <w:tcW w:w="2551" w:type="dxa"/>
            <w:vAlign w:val="center"/>
          </w:tcPr>
          <w:p>
            <w:pPr>
              <w:pStyle w:val="13"/>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保护区内及周边人员保护意识</w:t>
            </w:r>
          </w:p>
        </w:tc>
        <w:tc>
          <w:tcPr>
            <w:tcW w:w="3430" w:type="dxa"/>
            <w:vAlign w:val="center"/>
          </w:tcPr>
          <w:p>
            <w:pPr>
              <w:pStyle w:val="13"/>
            </w:pPr>
            <w:r>
              <w:t>保护区内及周边人员保护意识</w:t>
            </w:r>
          </w:p>
        </w:tc>
        <w:tc>
          <w:tcPr>
            <w:tcW w:w="2551" w:type="dxa"/>
            <w:vAlign w:val="center"/>
          </w:tcPr>
          <w:p>
            <w:pPr>
              <w:pStyle w:val="13"/>
            </w:pPr>
            <w:r>
              <w:t>明显增强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有效保障生态系统完整</w:t>
            </w:r>
          </w:p>
        </w:tc>
        <w:tc>
          <w:tcPr>
            <w:tcW w:w="3430" w:type="dxa"/>
            <w:vAlign w:val="center"/>
          </w:tcPr>
          <w:p>
            <w:pPr>
              <w:pStyle w:val="13"/>
            </w:pPr>
            <w:r>
              <w:t>有效保障生态系统完整</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职工和社区群众满意度</w:t>
            </w:r>
          </w:p>
        </w:tc>
        <w:tc>
          <w:tcPr>
            <w:tcW w:w="3430" w:type="dxa"/>
            <w:vAlign w:val="center"/>
          </w:tcPr>
          <w:p>
            <w:pPr>
              <w:pStyle w:val="13"/>
            </w:pPr>
            <w:r>
              <w:t>职工和社区群众满意度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5" w:name="_Toc_4_4_0000000049"/>
      <w:r>
        <w:rPr>
          <w:rFonts w:ascii="方正仿宋_GBK" w:hAnsi="方正仿宋_GBK" w:eastAsia="方正仿宋_GBK" w:cs="方正仿宋_GBK"/>
          <w:sz w:val="28"/>
        </w:rPr>
        <w:t>46.2025年文化市场综合执法对口交流协作经费绩效目标表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363301天津市滨海新区文化市场行政执法支队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2025年文化市场综合执法对口交流协作经费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53600.00</w:t>
            </w:r>
          </w:p>
        </w:tc>
        <w:tc>
          <w:tcPr>
            <w:tcW w:w="1587" w:type="dxa"/>
            <w:vAlign w:val="center"/>
          </w:tcPr>
          <w:p>
            <w:pPr>
              <w:pStyle w:val="14"/>
            </w:pPr>
            <w:r>
              <w:t>其中：财政    资金</w:t>
            </w:r>
          </w:p>
        </w:tc>
        <w:tc>
          <w:tcPr>
            <w:tcW w:w="1843" w:type="dxa"/>
            <w:vAlign w:val="center"/>
          </w:tcPr>
          <w:p>
            <w:pPr>
              <w:pStyle w:val="13"/>
            </w:pPr>
            <w:r>
              <w:t>53600.00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计划以开展业务培训和配置执法装备的形式进行对口帮扶。通过持续深入推进对口交流协作，推动中西部地区文化市场综合执法人员业务能力进一步增强，执法队伍建设进一步规范，执法工作信息化水平进一步提升，东中西部地区文化市场综合执法协同发展格局进一步巩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持续深入推进对口交流协作，推动中西部地区文化市场综合执法人员业务能力进一步增强，执法队伍建设进一步规范，执法工作信息化水平进一步提升，东中西部地区文化市场综合执法协同发展格局进一步巩固。</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执法培训次数</w:t>
            </w:r>
          </w:p>
        </w:tc>
        <w:tc>
          <w:tcPr>
            <w:tcW w:w="3430" w:type="dxa"/>
            <w:vAlign w:val="center"/>
          </w:tcPr>
          <w:p>
            <w:pPr>
              <w:pStyle w:val="13"/>
            </w:pPr>
            <w:r>
              <w:t>执法培训次数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采购笔记本电脑数量</w:t>
            </w:r>
          </w:p>
        </w:tc>
        <w:tc>
          <w:tcPr>
            <w:tcW w:w="3430" w:type="dxa"/>
            <w:vAlign w:val="center"/>
          </w:tcPr>
          <w:p>
            <w:pPr>
              <w:pStyle w:val="13"/>
            </w:pPr>
            <w:r>
              <w:t>采购笔记本电脑数量</w:t>
            </w:r>
          </w:p>
        </w:tc>
        <w:tc>
          <w:tcPr>
            <w:tcW w:w="2551" w:type="dxa"/>
            <w:vAlign w:val="center"/>
          </w:tcPr>
          <w:p>
            <w:pPr>
              <w:pStyle w:val="13"/>
            </w:pPr>
            <w:r>
              <w:t>≥6台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采购执法记录仪数量</w:t>
            </w:r>
          </w:p>
        </w:tc>
        <w:tc>
          <w:tcPr>
            <w:tcW w:w="3430" w:type="dxa"/>
            <w:vAlign w:val="center"/>
          </w:tcPr>
          <w:p>
            <w:pPr>
              <w:pStyle w:val="13"/>
            </w:pPr>
            <w:r>
              <w:t>采购执法记录仪数量</w:t>
            </w:r>
          </w:p>
        </w:tc>
        <w:tc>
          <w:tcPr>
            <w:tcW w:w="2551" w:type="dxa"/>
            <w:vAlign w:val="center"/>
          </w:tcPr>
          <w:p>
            <w:pPr>
              <w:pStyle w:val="13"/>
            </w:pPr>
            <w:r>
              <w:t>≥3台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采购便携式打印机数量</w:t>
            </w:r>
          </w:p>
        </w:tc>
        <w:tc>
          <w:tcPr>
            <w:tcW w:w="3430" w:type="dxa"/>
            <w:vAlign w:val="center"/>
          </w:tcPr>
          <w:p>
            <w:pPr>
              <w:pStyle w:val="13"/>
            </w:pPr>
            <w:r>
              <w:t>采购便携式打印机数量</w:t>
            </w:r>
          </w:p>
        </w:tc>
        <w:tc>
          <w:tcPr>
            <w:tcW w:w="2551" w:type="dxa"/>
            <w:vAlign w:val="center"/>
          </w:tcPr>
          <w:p>
            <w:pPr>
              <w:pStyle w:val="13"/>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文化市场综合执法对口交流协作工作完成达标率</w:t>
            </w:r>
          </w:p>
        </w:tc>
        <w:tc>
          <w:tcPr>
            <w:tcW w:w="3430" w:type="dxa"/>
            <w:vAlign w:val="center"/>
          </w:tcPr>
          <w:p>
            <w:pPr>
              <w:pStyle w:val="13"/>
            </w:pPr>
            <w:r>
              <w:t>文化市场综合执法对口交流协作工作完成达标率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执法对口交流协作任务完成时间</w:t>
            </w:r>
          </w:p>
        </w:tc>
        <w:tc>
          <w:tcPr>
            <w:tcW w:w="3430" w:type="dxa"/>
            <w:vAlign w:val="center"/>
          </w:tcPr>
          <w:p>
            <w:pPr>
              <w:pStyle w:val="13"/>
            </w:pPr>
            <w:r>
              <w:t>执法对口交流协作任务完成时间</w:t>
            </w:r>
          </w:p>
        </w:tc>
        <w:tc>
          <w:tcPr>
            <w:tcW w:w="2551" w:type="dxa"/>
            <w:vAlign w:val="center"/>
          </w:tcPr>
          <w:p>
            <w:pPr>
              <w:pStyle w:val="13"/>
            </w:pPr>
            <w:r>
              <w:t>2025年11月份之前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采购笔记本电脑价格</w:t>
            </w:r>
          </w:p>
        </w:tc>
        <w:tc>
          <w:tcPr>
            <w:tcW w:w="3430" w:type="dxa"/>
            <w:vAlign w:val="center"/>
          </w:tcPr>
          <w:p>
            <w:pPr>
              <w:pStyle w:val="13"/>
            </w:pPr>
            <w:r>
              <w:t>采购笔记本电脑价格</w:t>
            </w:r>
          </w:p>
        </w:tc>
        <w:tc>
          <w:tcPr>
            <w:tcW w:w="2551" w:type="dxa"/>
            <w:vAlign w:val="center"/>
          </w:tcPr>
          <w:p>
            <w:pPr>
              <w:pStyle w:val="13"/>
            </w:pPr>
            <w:r>
              <w:t>≤7000元/台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采购执法记录仪价格</w:t>
            </w:r>
          </w:p>
        </w:tc>
        <w:tc>
          <w:tcPr>
            <w:tcW w:w="3430" w:type="dxa"/>
            <w:vAlign w:val="center"/>
          </w:tcPr>
          <w:p>
            <w:pPr>
              <w:pStyle w:val="13"/>
            </w:pPr>
            <w:r>
              <w:t>采购执法记录仪价格</w:t>
            </w:r>
          </w:p>
        </w:tc>
        <w:tc>
          <w:tcPr>
            <w:tcW w:w="2551" w:type="dxa"/>
            <w:vAlign w:val="center"/>
          </w:tcPr>
          <w:p>
            <w:pPr>
              <w:pStyle w:val="13"/>
            </w:pPr>
            <w:r>
              <w:t>≤2000元/台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采购便携式打印机价格</w:t>
            </w:r>
          </w:p>
        </w:tc>
        <w:tc>
          <w:tcPr>
            <w:tcW w:w="3430" w:type="dxa"/>
            <w:vAlign w:val="center"/>
          </w:tcPr>
          <w:p>
            <w:pPr>
              <w:pStyle w:val="13"/>
            </w:pPr>
            <w:r>
              <w:t>采购便携式打印机价格</w:t>
            </w:r>
          </w:p>
        </w:tc>
        <w:tc>
          <w:tcPr>
            <w:tcW w:w="2551" w:type="dxa"/>
            <w:vAlign w:val="center"/>
          </w:tcPr>
          <w:p>
            <w:pPr>
              <w:pStyle w:val="13"/>
            </w:pPr>
            <w:r>
              <w:t>≤2800元/台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中西部地区文化市场综合执法水平</w:t>
            </w:r>
          </w:p>
        </w:tc>
        <w:tc>
          <w:tcPr>
            <w:tcW w:w="3430" w:type="dxa"/>
            <w:vAlign w:val="center"/>
          </w:tcPr>
          <w:p>
            <w:pPr>
              <w:pStyle w:val="13"/>
            </w:pPr>
            <w:r>
              <w:t>中西部地区文化市场综合执法水平</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中西部地区文化市场综合执法人员满意度</w:t>
            </w:r>
          </w:p>
        </w:tc>
        <w:tc>
          <w:tcPr>
            <w:tcW w:w="3430" w:type="dxa"/>
            <w:vAlign w:val="center"/>
          </w:tcPr>
          <w:p>
            <w:pPr>
              <w:pStyle w:val="13"/>
            </w:pPr>
            <w:r>
              <w:t>中西部地区文化市场综合执法人员满意度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6" w:name="_Toc_4_4_0000000050"/>
      <w:r>
        <w:rPr>
          <w:rFonts w:ascii="方正仿宋_GBK" w:hAnsi="方正仿宋_GBK" w:eastAsia="方正仿宋_GBK" w:cs="方正仿宋_GBK"/>
          <w:sz w:val="28"/>
        </w:rPr>
        <w:t>47.2025年行政执法监督平台运维及升级专项经费绩效目标表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363301天津市滨海新区文化市场行政执法支队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2025年行政执法监督平台运维及升级专项经费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26400.00</w:t>
            </w:r>
          </w:p>
        </w:tc>
        <w:tc>
          <w:tcPr>
            <w:tcW w:w="1587" w:type="dxa"/>
            <w:vAlign w:val="center"/>
          </w:tcPr>
          <w:p>
            <w:pPr>
              <w:pStyle w:val="14"/>
            </w:pPr>
            <w:r>
              <w:t>其中：财政    资金</w:t>
            </w:r>
          </w:p>
        </w:tc>
        <w:tc>
          <w:tcPr>
            <w:tcW w:w="1843" w:type="dxa"/>
            <w:vAlign w:val="center"/>
          </w:tcPr>
          <w:p>
            <w:pPr>
              <w:pStyle w:val="13"/>
            </w:pPr>
            <w:r>
              <w:t>26400.00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通过使用中国电信提供的视联网服务，实现对经营场所的全时视频监控，提高对场所的管理效力，强化综合执法效能。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1.通过使用中国电信提供的视联网服务，实现对经营场所的全时视频监控，提高对场所的管理效力，强化综合执法效能。</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监控点位数</w:t>
            </w:r>
          </w:p>
        </w:tc>
        <w:tc>
          <w:tcPr>
            <w:tcW w:w="3430" w:type="dxa"/>
            <w:vAlign w:val="center"/>
          </w:tcPr>
          <w:p>
            <w:pPr>
              <w:pStyle w:val="13"/>
            </w:pPr>
            <w:r>
              <w:t>监控点位数</w:t>
            </w:r>
          </w:p>
        </w:tc>
        <w:tc>
          <w:tcPr>
            <w:tcW w:w="2551" w:type="dxa"/>
            <w:vAlign w:val="center"/>
          </w:tcPr>
          <w:p>
            <w:pPr>
              <w:pStyle w:val="13"/>
            </w:pPr>
            <w:r>
              <w:t>≥60家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场所远程监控覆盖率</w:t>
            </w:r>
          </w:p>
        </w:tc>
        <w:tc>
          <w:tcPr>
            <w:tcW w:w="3430" w:type="dxa"/>
            <w:vAlign w:val="center"/>
          </w:tcPr>
          <w:p>
            <w:pPr>
              <w:pStyle w:val="13"/>
            </w:pPr>
            <w:r>
              <w:t>场所远程监控覆盖率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行政执法监督平台运维及升级任务完成时间</w:t>
            </w:r>
          </w:p>
        </w:tc>
        <w:tc>
          <w:tcPr>
            <w:tcW w:w="3430" w:type="dxa"/>
            <w:vAlign w:val="center"/>
          </w:tcPr>
          <w:p>
            <w:pPr>
              <w:pStyle w:val="13"/>
            </w:pPr>
            <w:r>
              <w:t>行政执法监督平台运维及升级任务完成时间</w:t>
            </w:r>
          </w:p>
        </w:tc>
        <w:tc>
          <w:tcPr>
            <w:tcW w:w="2551" w:type="dxa"/>
            <w:vAlign w:val="center"/>
          </w:tcPr>
          <w:p>
            <w:pPr>
              <w:pStyle w:val="13"/>
            </w:pPr>
            <w:r>
              <w:t>2025年12月份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平台运维及升级服务时长</w:t>
            </w:r>
          </w:p>
        </w:tc>
        <w:tc>
          <w:tcPr>
            <w:tcW w:w="3430" w:type="dxa"/>
            <w:vAlign w:val="center"/>
          </w:tcPr>
          <w:p>
            <w:pPr>
              <w:pStyle w:val="13"/>
            </w:pPr>
            <w:r>
              <w:t>平台运维及升级服务时长</w:t>
            </w:r>
          </w:p>
        </w:tc>
        <w:tc>
          <w:tcPr>
            <w:tcW w:w="2551" w:type="dxa"/>
            <w:vAlign w:val="center"/>
          </w:tcPr>
          <w:p>
            <w:pPr>
              <w:pStyle w:val="13"/>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网络服务费</w:t>
            </w:r>
          </w:p>
        </w:tc>
        <w:tc>
          <w:tcPr>
            <w:tcW w:w="3430" w:type="dxa"/>
            <w:vAlign w:val="center"/>
          </w:tcPr>
          <w:p>
            <w:pPr>
              <w:pStyle w:val="13"/>
            </w:pPr>
            <w:r>
              <w:t>网络服务费</w:t>
            </w:r>
          </w:p>
        </w:tc>
        <w:tc>
          <w:tcPr>
            <w:tcW w:w="2551" w:type="dxa"/>
            <w:vAlign w:val="center"/>
          </w:tcPr>
          <w:p>
            <w:pPr>
              <w:pStyle w:val="13"/>
            </w:pPr>
            <w:r>
              <w:t>2200元/月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治安防控保障率</w:t>
            </w:r>
          </w:p>
        </w:tc>
        <w:tc>
          <w:tcPr>
            <w:tcW w:w="3430" w:type="dxa"/>
            <w:vAlign w:val="center"/>
          </w:tcPr>
          <w:p>
            <w:pPr>
              <w:pStyle w:val="13"/>
            </w:pPr>
            <w:r>
              <w:t>治安防控保障率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消费者满意度</w:t>
            </w:r>
          </w:p>
        </w:tc>
        <w:tc>
          <w:tcPr>
            <w:tcW w:w="3430" w:type="dxa"/>
            <w:vAlign w:val="center"/>
          </w:tcPr>
          <w:p>
            <w:pPr>
              <w:pStyle w:val="13"/>
            </w:pPr>
            <w:r>
              <w:t>消费者满意度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kyOGZiOTBiYWIzMjY3NDdlODhlNTI0ZjJkYWY0NjcifQ=="/>
  </w:docVars>
  <w:rsids>
    <w:rsidRoot w:val="00000000"/>
    <w:rsid w:val="20000038"/>
    <w:rsid w:val="6CEE2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4" Type="http://schemas.openxmlformats.org/officeDocument/2006/relationships/fontTable" Target="fontTable.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2025-01-21T10:50:24Z</dcterms:created>
  <dcterms:modified xsi:type="dcterms:W3CDTF">2025-01-21T02:50:24Z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2025-01-21T10:50:24Z</dcterms:created>
  <dcterms:modified xsi:type="dcterms:W3CDTF">2025-01-21T02:50:24Z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2025-01-21T02:50:19Z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2025-01-21T10:50:21Z</dcterms:created>
  <dcterms:modified xsi:type="dcterms:W3CDTF">2025-01-21T02:50:20Z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2025-01-21T10:50:21Z</dcterms:created>
  <dcterms:modified xsi:type="dcterms:W3CDTF">2025-01-21T02:50:21Z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2025-01-21T10:50:21Z</dcterms:created>
  <dcterms:modified xsi:type="dcterms:W3CDTF">2025-01-21T02:50:21Z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2025-01-21T10:50:21Z</dcterms:created>
  <dcterms:modified xsi:type="dcterms:W3CDTF">2025-01-21T02:50:21Z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2025-01-21T10:50:21Z</dcterms:created>
  <dcterms:modified xsi:type="dcterms:W3CDTF">2025-01-21T02:50:21Z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2025-01-21T10:50:22Z</dcterms:created>
  <dcterms:modified xsi:type="dcterms:W3CDTF">2025-01-21T02:50:22Z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2025-01-21T10:50:22Z</dcterms:created>
  <dcterms:modified xsi:type="dcterms:W3CDTF">2025-01-21T02:50:22Z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2025-01-21T10:50:22Z</dcterms:created>
  <dcterms:modified xsi:type="dcterms:W3CDTF">2025-01-21T02:50:22Z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2025-01-21T10:50:22Z</dcterms:created>
  <dcterms:modified xsi:type="dcterms:W3CDTF">2025-01-21T02:50:22Z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2025-01-21T10:50:22Z</dcterms:created>
  <dcterms:modified xsi:type="dcterms:W3CDTF">2025-01-21T02:50:22Z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2025-01-21T10:50:23Z</dcterms:created>
  <dcterms:modified xsi:type="dcterms:W3CDTF">2025-01-21T02:50:23Z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2025-01-21T10:50:23Z</dcterms:created>
  <dcterms:modified xsi:type="dcterms:W3CDTF">2025-01-21T02:50:23Z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2025-01-21T10:50:23Z</dcterms:created>
  <dcterms:modified xsi:type="dcterms:W3CDTF">2025-01-21T02:50:23Z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2025-01-21T10:50:23Z</dcterms:created>
  <dcterms:modified xsi:type="dcterms:W3CDTF">2025-01-21T02:50:23Z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2025-01-21T10:50:23Z</dcterms:created>
  <dcterms:modified xsi:type="dcterms:W3CDTF">2025-01-21T02:50:23Z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2025-01-21T10:50:24Z</dcterms:created>
  <dcterms:modified xsi:type="dcterms:W3CDTF">2025-01-21T02:50:24Z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2025-01-21T10:50:24Z</dcterms:created>
  <dcterms:modified xsi:type="dcterms:W3CDTF">2025-01-21T02:50:24Z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2025-01-21T10:50:24Z</dcterms:created>
  <dcterms:modified xsi:type="dcterms:W3CDTF">2025-01-21T02:50:24Z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7d634fb-308c-4f81-9106-b9d5cc9d27f7}">
  <ds:schemaRefs/>
</ds:datastoreItem>
</file>

<file path=customXml/itemProps10.xml><?xml version="1.0" encoding="utf-8"?>
<ds:datastoreItem xmlns:ds="http://schemas.openxmlformats.org/officeDocument/2006/customXml" ds:itemID="{d535017c-5e00-43dd-910c-153b868a5d06}">
  <ds:schemaRefs/>
</ds:datastoreItem>
</file>

<file path=customXml/itemProps11.xml><?xml version="1.0" encoding="utf-8"?>
<ds:datastoreItem xmlns:ds="http://schemas.openxmlformats.org/officeDocument/2006/customXml" ds:itemID="{46785000-7a96-4ebc-b6e6-889fb75fe2bf}">
  <ds:schemaRefs/>
</ds:datastoreItem>
</file>

<file path=customXml/itemProps12.xml><?xml version="1.0" encoding="utf-8"?>
<ds:datastoreItem xmlns:ds="http://schemas.openxmlformats.org/officeDocument/2006/customXml" ds:itemID="{396e5014-f056-4d6e-9c0e-79dd2c7d8e0f}">
  <ds:schemaRefs/>
</ds:datastoreItem>
</file>

<file path=customXml/itemProps13.xml><?xml version="1.0" encoding="utf-8"?>
<ds:datastoreItem xmlns:ds="http://schemas.openxmlformats.org/officeDocument/2006/customXml" ds:itemID="{c4a69c2c-ef44-4555-9b21-cac8e983a762}">
  <ds:schemaRefs/>
</ds:datastoreItem>
</file>

<file path=customXml/itemProps14.xml><?xml version="1.0" encoding="utf-8"?>
<ds:datastoreItem xmlns:ds="http://schemas.openxmlformats.org/officeDocument/2006/customXml" ds:itemID="{9277ff9a-03ec-4a4b-b562-39d2773784ca}">
  <ds:schemaRefs/>
</ds:datastoreItem>
</file>

<file path=customXml/itemProps15.xml><?xml version="1.0" encoding="utf-8"?>
<ds:datastoreItem xmlns:ds="http://schemas.openxmlformats.org/officeDocument/2006/customXml" ds:itemID="{7f3ea9e9-0b74-4c63-82d8-0305ef5c1840}">
  <ds:schemaRefs/>
</ds:datastoreItem>
</file>

<file path=customXml/itemProps16.xml><?xml version="1.0" encoding="utf-8"?>
<ds:datastoreItem xmlns:ds="http://schemas.openxmlformats.org/officeDocument/2006/customXml" ds:itemID="{8db95e17-5a67-401d-b23a-46fe2ed80121}">
  <ds:schemaRefs/>
</ds:datastoreItem>
</file>

<file path=customXml/itemProps17.xml><?xml version="1.0" encoding="utf-8"?>
<ds:datastoreItem xmlns:ds="http://schemas.openxmlformats.org/officeDocument/2006/customXml" ds:itemID="{be5f46e0-a08c-43fd-83b7-1f7f5d65c75f}">
  <ds:schemaRefs/>
</ds:datastoreItem>
</file>

<file path=customXml/itemProps18.xml><?xml version="1.0" encoding="utf-8"?>
<ds:datastoreItem xmlns:ds="http://schemas.openxmlformats.org/officeDocument/2006/customXml" ds:itemID="{28ca098e-ef44-4339-b662-e96c2eebefda}">
  <ds:schemaRefs/>
</ds:datastoreItem>
</file>

<file path=customXml/itemProps19.xml><?xml version="1.0" encoding="utf-8"?>
<ds:datastoreItem xmlns:ds="http://schemas.openxmlformats.org/officeDocument/2006/customXml" ds:itemID="{0dc79651-6982-45df-a0b8-9014c62bcd75}">
  <ds:schemaRefs/>
</ds:datastoreItem>
</file>

<file path=customXml/itemProps2.xml><?xml version="1.0" encoding="utf-8"?>
<ds:datastoreItem xmlns:ds="http://schemas.openxmlformats.org/officeDocument/2006/customXml" ds:itemID="{32d62bdb-534c-4912-a90f-33a04b429242}">
  <ds:schemaRefs/>
</ds:datastoreItem>
</file>

<file path=customXml/itemProps20.xml><?xml version="1.0" encoding="utf-8"?>
<ds:datastoreItem xmlns:ds="http://schemas.openxmlformats.org/officeDocument/2006/customXml" ds:itemID="{f728de4c-38a4-4c0e-84c0-5447265ff180}">
  <ds:schemaRefs/>
</ds:datastoreItem>
</file>

<file path=customXml/itemProps21.xml><?xml version="1.0" encoding="utf-8"?>
<ds:datastoreItem xmlns:ds="http://schemas.openxmlformats.org/officeDocument/2006/customXml" ds:itemID="{f85079ad-3f34-4274-8886-4d53a213d5a7}">
  <ds:schemaRefs/>
</ds:datastoreItem>
</file>

<file path=customXml/itemProps22.xml><?xml version="1.0" encoding="utf-8"?>
<ds:datastoreItem xmlns:ds="http://schemas.openxmlformats.org/officeDocument/2006/customXml" ds:itemID="{72f89408-ab3e-4496-aedb-8cc371bd47b1}">
  <ds:schemaRefs/>
</ds:datastoreItem>
</file>

<file path=customXml/itemProps23.xml><?xml version="1.0" encoding="utf-8"?>
<ds:datastoreItem xmlns:ds="http://schemas.openxmlformats.org/officeDocument/2006/customXml" ds:itemID="{4680899f-5719-414d-bc78-c06e1aaef3d2}">
  <ds:schemaRefs/>
</ds:datastoreItem>
</file>

<file path=customXml/itemProps24.xml><?xml version="1.0" encoding="utf-8"?>
<ds:datastoreItem xmlns:ds="http://schemas.openxmlformats.org/officeDocument/2006/customXml" ds:itemID="{4eb1865b-02b0-42f8-b93f-64ca1ae15cc4}">
  <ds:schemaRefs/>
</ds:datastoreItem>
</file>

<file path=customXml/itemProps25.xml><?xml version="1.0" encoding="utf-8"?>
<ds:datastoreItem xmlns:ds="http://schemas.openxmlformats.org/officeDocument/2006/customXml" ds:itemID="{dcb7e1b0-ec27-4fe2-b9e7-86578978ad30}">
  <ds:schemaRefs/>
</ds:datastoreItem>
</file>

<file path=customXml/itemProps26.xml><?xml version="1.0" encoding="utf-8"?>
<ds:datastoreItem xmlns:ds="http://schemas.openxmlformats.org/officeDocument/2006/customXml" ds:itemID="{1c968c42-26ed-4db7-9179-9f721ea83fd2}">
  <ds:schemaRefs/>
</ds:datastoreItem>
</file>

<file path=customXml/itemProps27.xml><?xml version="1.0" encoding="utf-8"?>
<ds:datastoreItem xmlns:ds="http://schemas.openxmlformats.org/officeDocument/2006/customXml" ds:itemID="{dd781158-f5e0-43b1-858b-f6d1346cbe95}">
  <ds:schemaRefs/>
</ds:datastoreItem>
</file>

<file path=customXml/itemProps28.xml><?xml version="1.0" encoding="utf-8"?>
<ds:datastoreItem xmlns:ds="http://schemas.openxmlformats.org/officeDocument/2006/customXml" ds:itemID="{6e864b8d-dd8d-4c1c-9948-33baca9cffa2}">
  <ds:schemaRefs/>
</ds:datastoreItem>
</file>

<file path=customXml/itemProps29.xml><?xml version="1.0" encoding="utf-8"?>
<ds:datastoreItem xmlns:ds="http://schemas.openxmlformats.org/officeDocument/2006/customXml" ds:itemID="{79541f91-e652-4b85-b80e-8fe2abbc9e83}">
  <ds:schemaRefs/>
</ds:datastoreItem>
</file>

<file path=customXml/itemProps3.xml><?xml version="1.0" encoding="utf-8"?>
<ds:datastoreItem xmlns:ds="http://schemas.openxmlformats.org/officeDocument/2006/customXml" ds:itemID="{1b0d41d5-5422-4428-bffc-2ae3f91645a3}">
  <ds:schemaRefs/>
</ds:datastoreItem>
</file>

<file path=customXml/itemProps30.xml><?xml version="1.0" encoding="utf-8"?>
<ds:datastoreItem xmlns:ds="http://schemas.openxmlformats.org/officeDocument/2006/customXml" ds:itemID="{8d0df747-1ff9-43f8-87a3-15e415c7cabf}">
  <ds:schemaRefs/>
</ds:datastoreItem>
</file>

<file path=customXml/itemProps31.xml><?xml version="1.0" encoding="utf-8"?>
<ds:datastoreItem xmlns:ds="http://schemas.openxmlformats.org/officeDocument/2006/customXml" ds:itemID="{9245517b-b543-4ccf-9375-3a28ef919298}">
  <ds:schemaRefs/>
</ds:datastoreItem>
</file>

<file path=customXml/itemProps32.xml><?xml version="1.0" encoding="utf-8"?>
<ds:datastoreItem xmlns:ds="http://schemas.openxmlformats.org/officeDocument/2006/customXml" ds:itemID="{1dfc36c4-f543-4950-971e-499e3836da1c}">
  <ds:schemaRefs/>
</ds:datastoreItem>
</file>

<file path=customXml/itemProps33.xml><?xml version="1.0" encoding="utf-8"?>
<ds:datastoreItem xmlns:ds="http://schemas.openxmlformats.org/officeDocument/2006/customXml" ds:itemID="{0ab9456b-3cb8-4b0b-b9f1-b5e285c955f6}">
  <ds:schemaRefs/>
</ds:datastoreItem>
</file>

<file path=customXml/itemProps34.xml><?xml version="1.0" encoding="utf-8"?>
<ds:datastoreItem xmlns:ds="http://schemas.openxmlformats.org/officeDocument/2006/customXml" ds:itemID="{67ed0f77-ba08-4867-830a-d1526fc0e19d}">
  <ds:schemaRefs/>
</ds:datastoreItem>
</file>

<file path=customXml/itemProps35.xml><?xml version="1.0" encoding="utf-8"?>
<ds:datastoreItem xmlns:ds="http://schemas.openxmlformats.org/officeDocument/2006/customXml" ds:itemID="{2d32eb7f-1e33-42d2-a92e-c3b76b61ebbe}">
  <ds:schemaRefs/>
</ds:datastoreItem>
</file>

<file path=customXml/itemProps36.xml><?xml version="1.0" encoding="utf-8"?>
<ds:datastoreItem xmlns:ds="http://schemas.openxmlformats.org/officeDocument/2006/customXml" ds:itemID="{4e466c76-00d0-472e-b5e2-6442b899aff1}">
  <ds:schemaRefs/>
</ds:datastoreItem>
</file>

<file path=customXml/itemProps37.xml><?xml version="1.0" encoding="utf-8"?>
<ds:datastoreItem xmlns:ds="http://schemas.openxmlformats.org/officeDocument/2006/customXml" ds:itemID="{3c2f9168-9b72-4306-b2cb-cc8ef51c3241}">
  <ds:schemaRefs/>
</ds:datastoreItem>
</file>

<file path=customXml/itemProps38.xml><?xml version="1.0" encoding="utf-8"?>
<ds:datastoreItem xmlns:ds="http://schemas.openxmlformats.org/officeDocument/2006/customXml" ds:itemID="{19e49a3c-711e-45bf-bf68-020632971deb}">
  <ds:schemaRefs/>
</ds:datastoreItem>
</file>

<file path=customXml/itemProps39.xml><?xml version="1.0" encoding="utf-8"?>
<ds:datastoreItem xmlns:ds="http://schemas.openxmlformats.org/officeDocument/2006/customXml" ds:itemID="{424c9dc8-643b-46bc-b6a5-521511b03d7c}">
  <ds:schemaRefs/>
</ds:datastoreItem>
</file>

<file path=customXml/itemProps4.xml><?xml version="1.0" encoding="utf-8"?>
<ds:datastoreItem xmlns:ds="http://schemas.openxmlformats.org/officeDocument/2006/customXml" ds:itemID="{a6ac1321-616e-4b6f-a6e9-c98d913526e3}">
  <ds:schemaRefs/>
</ds:datastoreItem>
</file>

<file path=customXml/itemProps40.xml><?xml version="1.0" encoding="utf-8"?>
<ds:datastoreItem xmlns:ds="http://schemas.openxmlformats.org/officeDocument/2006/customXml" ds:itemID="{02494c0d-5a79-454f-902e-8eb09ebb77f8}">
  <ds:schemaRefs/>
</ds:datastoreItem>
</file>

<file path=customXml/itemProps41.xml><?xml version="1.0" encoding="utf-8"?>
<ds:datastoreItem xmlns:ds="http://schemas.openxmlformats.org/officeDocument/2006/customXml" ds:itemID="{0749eab1-742e-4def-aa2d-8664e4545769}">
  <ds:schemaRefs/>
</ds:datastoreItem>
</file>

<file path=customXml/itemProps42.xml><?xml version="1.0" encoding="utf-8"?>
<ds:datastoreItem xmlns:ds="http://schemas.openxmlformats.org/officeDocument/2006/customXml" ds:itemID="{14065708-0907-4ff4-863e-4634f966b817}">
  <ds:schemaRefs/>
</ds:datastoreItem>
</file>

<file path=customXml/itemProps43.xml><?xml version="1.0" encoding="utf-8"?>
<ds:datastoreItem xmlns:ds="http://schemas.openxmlformats.org/officeDocument/2006/customXml" ds:itemID="{df4d4229-f846-4dd4-8ab6-e2ecdecdbb99}">
  <ds:schemaRefs/>
</ds:datastoreItem>
</file>

<file path=customXml/itemProps44.xml><?xml version="1.0" encoding="utf-8"?>
<ds:datastoreItem xmlns:ds="http://schemas.openxmlformats.org/officeDocument/2006/customXml" ds:itemID="{af0a255d-e937-4442-bbec-3e825ef01aad}">
  <ds:schemaRefs/>
</ds:datastoreItem>
</file>

<file path=customXml/itemProps45.xml><?xml version="1.0" encoding="utf-8"?>
<ds:datastoreItem xmlns:ds="http://schemas.openxmlformats.org/officeDocument/2006/customXml" ds:itemID="{dd73cd8e-1e2d-469e-b328-4f29869c82aa}">
  <ds:schemaRefs/>
</ds:datastoreItem>
</file>

<file path=customXml/itemProps46.xml><?xml version="1.0" encoding="utf-8"?>
<ds:datastoreItem xmlns:ds="http://schemas.openxmlformats.org/officeDocument/2006/customXml" ds:itemID="{aa2aa5c5-70ac-46e3-8add-c577dbb3e21d}">
  <ds:schemaRefs/>
</ds:datastoreItem>
</file>

<file path=customXml/itemProps47.xml><?xml version="1.0" encoding="utf-8"?>
<ds:datastoreItem xmlns:ds="http://schemas.openxmlformats.org/officeDocument/2006/customXml" ds:itemID="{dd4167df-a3f0-43d8-9da0-e7d5576dad73}">
  <ds:schemaRefs/>
</ds:datastoreItem>
</file>

<file path=customXml/itemProps48.xml><?xml version="1.0" encoding="utf-8"?>
<ds:datastoreItem xmlns:ds="http://schemas.openxmlformats.org/officeDocument/2006/customXml" ds:itemID="{e4e375f5-94b7-489e-ad57-f789849cda17}">
  <ds:schemaRefs/>
</ds:datastoreItem>
</file>

<file path=customXml/itemProps49.xml><?xml version="1.0" encoding="utf-8"?>
<ds:datastoreItem xmlns:ds="http://schemas.openxmlformats.org/officeDocument/2006/customXml" ds:itemID="{3ecf070b-9818-4b7f-89cd-8bf2e249773b}">
  <ds:schemaRefs/>
</ds:datastoreItem>
</file>

<file path=customXml/itemProps5.xml><?xml version="1.0" encoding="utf-8"?>
<ds:datastoreItem xmlns:ds="http://schemas.openxmlformats.org/officeDocument/2006/customXml" ds:itemID="{42ff0a22-fbc7-45b1-b993-f6685117fe87}">
  <ds:schemaRefs/>
</ds:datastoreItem>
</file>

<file path=customXml/itemProps50.xml><?xml version="1.0" encoding="utf-8"?>
<ds:datastoreItem xmlns:ds="http://schemas.openxmlformats.org/officeDocument/2006/customXml" ds:itemID="{1c24e315-41b7-438b-adb8-4eb9f8141187}">
  <ds:schemaRefs/>
</ds:datastoreItem>
</file>

<file path=customXml/itemProps51.xml><?xml version="1.0" encoding="utf-8"?>
<ds:datastoreItem xmlns:ds="http://schemas.openxmlformats.org/officeDocument/2006/customXml" ds:itemID="{cf6bcea4-9ea7-45b1-83cc-407a27158261}">
  <ds:schemaRefs/>
</ds:datastoreItem>
</file>

<file path=customXml/itemProps52.xml><?xml version="1.0" encoding="utf-8"?>
<ds:datastoreItem xmlns:ds="http://schemas.openxmlformats.org/officeDocument/2006/customXml" ds:itemID="{08c2365d-6ccc-4eb7-93ba-57ff06de7a57}">
  <ds:schemaRefs/>
</ds:datastoreItem>
</file>

<file path=customXml/itemProps53.xml><?xml version="1.0" encoding="utf-8"?>
<ds:datastoreItem xmlns:ds="http://schemas.openxmlformats.org/officeDocument/2006/customXml" ds:itemID="{7f6d6512-bd2e-4f5d-83f7-89dbd311bf61}">
  <ds:schemaRefs/>
</ds:datastoreItem>
</file>

<file path=customXml/itemProps54.xml><?xml version="1.0" encoding="utf-8"?>
<ds:datastoreItem xmlns:ds="http://schemas.openxmlformats.org/officeDocument/2006/customXml" ds:itemID="{629cf769-0eda-43c6-b222-e0d58c5e6183}">
  <ds:schemaRefs/>
</ds:datastoreItem>
</file>

<file path=customXml/itemProps55.xml><?xml version="1.0" encoding="utf-8"?>
<ds:datastoreItem xmlns:ds="http://schemas.openxmlformats.org/officeDocument/2006/customXml" ds:itemID="{c440da1a-2cb4-4b11-a06d-dfa5d8a976ac}">
  <ds:schemaRefs/>
</ds:datastoreItem>
</file>

<file path=customXml/itemProps56.xml><?xml version="1.0" encoding="utf-8"?>
<ds:datastoreItem xmlns:ds="http://schemas.openxmlformats.org/officeDocument/2006/customXml" ds:itemID="{debf6608-fe67-443e-8bec-7991c61d9702}">
  <ds:schemaRefs/>
</ds:datastoreItem>
</file>

<file path=customXml/itemProps57.xml><?xml version="1.0" encoding="utf-8"?>
<ds:datastoreItem xmlns:ds="http://schemas.openxmlformats.org/officeDocument/2006/customXml" ds:itemID="{fc5a7c39-83fd-4d85-b699-0f5121486336}">
  <ds:schemaRefs/>
</ds:datastoreItem>
</file>

<file path=customXml/itemProps58.xml><?xml version="1.0" encoding="utf-8"?>
<ds:datastoreItem xmlns:ds="http://schemas.openxmlformats.org/officeDocument/2006/customXml" ds:itemID="{3f4620cb-aca6-46d6-98ee-e2aeb5cd54c5}">
  <ds:schemaRefs/>
</ds:datastoreItem>
</file>

<file path=customXml/itemProps59.xml><?xml version="1.0" encoding="utf-8"?>
<ds:datastoreItem xmlns:ds="http://schemas.openxmlformats.org/officeDocument/2006/customXml" ds:itemID="{7349bc1f-13d1-466b-85ef-a9c92fbab843}">
  <ds:schemaRefs/>
</ds:datastoreItem>
</file>

<file path=customXml/itemProps6.xml><?xml version="1.0" encoding="utf-8"?>
<ds:datastoreItem xmlns:ds="http://schemas.openxmlformats.org/officeDocument/2006/customXml" ds:itemID="{9f0c65df-fb1c-4e80-a51d-17f2b280207d}">
  <ds:schemaRefs/>
</ds:datastoreItem>
</file>

<file path=customXml/itemProps60.xml><?xml version="1.0" encoding="utf-8"?>
<ds:datastoreItem xmlns:ds="http://schemas.openxmlformats.org/officeDocument/2006/customXml" ds:itemID="{01354ed5-4911-40e6-a1a8-3a6025b5a499}">
  <ds:schemaRefs/>
</ds:datastoreItem>
</file>

<file path=customXml/itemProps61.xml><?xml version="1.0" encoding="utf-8"?>
<ds:datastoreItem xmlns:ds="http://schemas.openxmlformats.org/officeDocument/2006/customXml" ds:itemID="{6654fbfe-8d50-4e6d-b524-d1aedd4d4cff}">
  <ds:schemaRefs/>
</ds:datastoreItem>
</file>

<file path=customXml/itemProps62.xml><?xml version="1.0" encoding="utf-8"?>
<ds:datastoreItem xmlns:ds="http://schemas.openxmlformats.org/officeDocument/2006/customXml" ds:itemID="{0357f8d1-08f9-4572-9b37-df025be6b2de}">
  <ds:schemaRefs/>
</ds:datastoreItem>
</file>

<file path=customXml/itemProps63.xml><?xml version="1.0" encoding="utf-8"?>
<ds:datastoreItem xmlns:ds="http://schemas.openxmlformats.org/officeDocument/2006/customXml" ds:itemID="{f2e40a00-1650-468c-a160-c86144ee3e35}">
  <ds:schemaRefs/>
</ds:datastoreItem>
</file>

<file path=customXml/itemProps64.xml><?xml version="1.0" encoding="utf-8"?>
<ds:datastoreItem xmlns:ds="http://schemas.openxmlformats.org/officeDocument/2006/customXml" ds:itemID="{533ae925-757f-4079-9773-14d64f9b62a6}">
  <ds:schemaRefs/>
</ds:datastoreItem>
</file>

<file path=customXml/itemProps65.xml><?xml version="1.0" encoding="utf-8"?>
<ds:datastoreItem xmlns:ds="http://schemas.openxmlformats.org/officeDocument/2006/customXml" ds:itemID="{f35edc61-b622-4d5f-a130-d254edf96f68}">
  <ds:schemaRefs/>
</ds:datastoreItem>
</file>

<file path=customXml/itemProps66.xml><?xml version="1.0" encoding="utf-8"?>
<ds:datastoreItem xmlns:ds="http://schemas.openxmlformats.org/officeDocument/2006/customXml" ds:itemID="{b224d491-f659-428b-b8bb-ec3ad0f9542d}">
  <ds:schemaRefs/>
</ds:datastoreItem>
</file>

<file path=customXml/itemProps67.xml><?xml version="1.0" encoding="utf-8"?>
<ds:datastoreItem xmlns:ds="http://schemas.openxmlformats.org/officeDocument/2006/customXml" ds:itemID="{98fe5461-67be-4731-84f4-2e8b90789b34}">
  <ds:schemaRefs/>
</ds:datastoreItem>
</file>

<file path=customXml/itemProps68.xml><?xml version="1.0" encoding="utf-8"?>
<ds:datastoreItem xmlns:ds="http://schemas.openxmlformats.org/officeDocument/2006/customXml" ds:itemID="{26f141ca-7ed2-4adf-9570-43ce3581ca45}">
  <ds:schemaRefs/>
</ds:datastoreItem>
</file>

<file path=customXml/itemProps69.xml><?xml version="1.0" encoding="utf-8"?>
<ds:datastoreItem xmlns:ds="http://schemas.openxmlformats.org/officeDocument/2006/customXml" ds:itemID="{eb675ebb-1aa7-43d4-9e12-cd929fe3c4ac}">
  <ds:schemaRefs/>
</ds:datastoreItem>
</file>

<file path=customXml/itemProps7.xml><?xml version="1.0" encoding="utf-8"?>
<ds:datastoreItem xmlns:ds="http://schemas.openxmlformats.org/officeDocument/2006/customXml" ds:itemID="{28d101f1-ef62-4ff5-84c9-470fe61ab7aa}">
  <ds:schemaRefs/>
</ds:datastoreItem>
</file>

<file path=customXml/itemProps70.xml><?xml version="1.0" encoding="utf-8"?>
<ds:datastoreItem xmlns:ds="http://schemas.openxmlformats.org/officeDocument/2006/customXml" ds:itemID="{4b639e01-3acb-4f98-ba4a-e049c977b025}">
  <ds:schemaRefs/>
</ds:datastoreItem>
</file>

<file path=customXml/itemProps71.xml><?xml version="1.0" encoding="utf-8"?>
<ds:datastoreItem xmlns:ds="http://schemas.openxmlformats.org/officeDocument/2006/customXml" ds:itemID="{75a873e7-797c-40d0-a8fd-0888b5088c01}">
  <ds:schemaRefs/>
</ds:datastoreItem>
</file>

<file path=customXml/itemProps72.xml><?xml version="1.0" encoding="utf-8"?>
<ds:datastoreItem xmlns:ds="http://schemas.openxmlformats.org/officeDocument/2006/customXml" ds:itemID="{79520cf8-acdb-46ea-8332-925d3d0f93e2}">
  <ds:schemaRefs/>
</ds:datastoreItem>
</file>

<file path=customXml/itemProps73.xml><?xml version="1.0" encoding="utf-8"?>
<ds:datastoreItem xmlns:ds="http://schemas.openxmlformats.org/officeDocument/2006/customXml" ds:itemID="{6e5f2fdf-3321-441c-abee-46c712f067e6}">
  <ds:schemaRefs/>
</ds:datastoreItem>
</file>

<file path=customXml/itemProps74.xml><?xml version="1.0" encoding="utf-8"?>
<ds:datastoreItem xmlns:ds="http://schemas.openxmlformats.org/officeDocument/2006/customXml" ds:itemID="{d0e0aa90-f289-497c-9ee5-e8fa25d9f532}">
  <ds:schemaRefs/>
</ds:datastoreItem>
</file>

<file path=customXml/itemProps75.xml><?xml version="1.0" encoding="utf-8"?>
<ds:datastoreItem xmlns:ds="http://schemas.openxmlformats.org/officeDocument/2006/customXml" ds:itemID="{15e65f45-3634-4d00-bc7c-02ce65d962e7}">
  <ds:schemaRefs/>
</ds:datastoreItem>
</file>

<file path=customXml/itemProps76.xml><?xml version="1.0" encoding="utf-8"?>
<ds:datastoreItem xmlns:ds="http://schemas.openxmlformats.org/officeDocument/2006/customXml" ds:itemID="{610979ea-00ad-4f4d-b9f4-fccbde021d78}">
  <ds:schemaRefs/>
</ds:datastoreItem>
</file>

<file path=customXml/itemProps77.xml><?xml version="1.0" encoding="utf-8"?>
<ds:datastoreItem xmlns:ds="http://schemas.openxmlformats.org/officeDocument/2006/customXml" ds:itemID="{4270a139-e9c3-4155-bc29-406a4bb45da2}">
  <ds:schemaRefs/>
</ds:datastoreItem>
</file>

<file path=customXml/itemProps78.xml><?xml version="1.0" encoding="utf-8"?>
<ds:datastoreItem xmlns:ds="http://schemas.openxmlformats.org/officeDocument/2006/customXml" ds:itemID="{6283c8b9-9163-4b9c-a665-df5becbfc2fe}">
  <ds:schemaRefs/>
</ds:datastoreItem>
</file>

<file path=customXml/itemProps79.xml><?xml version="1.0" encoding="utf-8"?>
<ds:datastoreItem xmlns:ds="http://schemas.openxmlformats.org/officeDocument/2006/customXml" ds:itemID="{f118a8dc-6691-4c9e-aacf-6675b11b1a4b}">
  <ds:schemaRefs/>
</ds:datastoreItem>
</file>

<file path=customXml/itemProps8.xml><?xml version="1.0" encoding="utf-8"?>
<ds:datastoreItem xmlns:ds="http://schemas.openxmlformats.org/officeDocument/2006/customXml" ds:itemID="{67eb6bea-f3d8-4a7a-a737-0c18251e61ba}">
  <ds:schemaRefs/>
</ds:datastoreItem>
</file>

<file path=customXml/itemProps80.xml><?xml version="1.0" encoding="utf-8"?>
<ds:datastoreItem xmlns:ds="http://schemas.openxmlformats.org/officeDocument/2006/customXml" ds:itemID="{10c8fd16-1582-439e-9e94-a7a6010c1982}">
  <ds:schemaRefs/>
</ds:datastoreItem>
</file>

<file path=customXml/itemProps81.xml><?xml version="1.0" encoding="utf-8"?>
<ds:datastoreItem xmlns:ds="http://schemas.openxmlformats.org/officeDocument/2006/customXml" ds:itemID="{6d8872b7-b5dd-4dfd-ad42-89c5e06186a0}">
  <ds:schemaRefs/>
</ds:datastoreItem>
</file>

<file path=customXml/itemProps82.xml><?xml version="1.0" encoding="utf-8"?>
<ds:datastoreItem xmlns:ds="http://schemas.openxmlformats.org/officeDocument/2006/customXml" ds:itemID="{66255540-4685-47a7-9be9-a3f4fcef7a97}">
  <ds:schemaRefs/>
</ds:datastoreItem>
</file>

<file path=customXml/itemProps83.xml><?xml version="1.0" encoding="utf-8"?>
<ds:datastoreItem xmlns:ds="http://schemas.openxmlformats.org/officeDocument/2006/customXml" ds:itemID="{375ffb17-a448-44c5-927a-7d7177c7b897}">
  <ds:schemaRefs/>
</ds:datastoreItem>
</file>

<file path=customXml/itemProps84.xml><?xml version="1.0" encoding="utf-8"?>
<ds:datastoreItem xmlns:ds="http://schemas.openxmlformats.org/officeDocument/2006/customXml" ds:itemID="{a9589900-f5b0-44e1-aa6d-7b24cc9e1560}">
  <ds:schemaRefs/>
</ds:datastoreItem>
</file>

<file path=customXml/itemProps85.xml><?xml version="1.0" encoding="utf-8"?>
<ds:datastoreItem xmlns:ds="http://schemas.openxmlformats.org/officeDocument/2006/customXml" ds:itemID="{8a6f3447-b23c-42f2-b4fb-423e97ad2782}">
  <ds:schemaRefs/>
</ds:datastoreItem>
</file>

<file path=customXml/itemProps86.xml><?xml version="1.0" encoding="utf-8"?>
<ds:datastoreItem xmlns:ds="http://schemas.openxmlformats.org/officeDocument/2006/customXml" ds:itemID="{aa1ad9e2-99bb-4895-a038-89aec3dd4fd6}">
  <ds:schemaRefs/>
</ds:datastoreItem>
</file>

<file path=customXml/itemProps87.xml><?xml version="1.0" encoding="utf-8"?>
<ds:datastoreItem xmlns:ds="http://schemas.openxmlformats.org/officeDocument/2006/customXml" ds:itemID="{df2e9a29-f32e-4b7d-8c22-965bf9b7a426}">
  <ds:schemaRefs/>
</ds:datastoreItem>
</file>

<file path=customXml/itemProps88.xml><?xml version="1.0" encoding="utf-8"?>
<ds:datastoreItem xmlns:ds="http://schemas.openxmlformats.org/officeDocument/2006/customXml" ds:itemID="{549269e1-8bae-49d5-adb9-2e8fa22874e2}">
  <ds:schemaRefs/>
</ds:datastoreItem>
</file>

<file path=customXml/itemProps89.xml><?xml version="1.0" encoding="utf-8"?>
<ds:datastoreItem xmlns:ds="http://schemas.openxmlformats.org/officeDocument/2006/customXml" ds:itemID="{4998f866-916a-44e2-95e6-e1d0ea9746bb}">
  <ds:schemaRefs/>
</ds:datastoreItem>
</file>

<file path=customXml/itemProps9.xml><?xml version="1.0" encoding="utf-8"?>
<ds:datastoreItem xmlns:ds="http://schemas.openxmlformats.org/officeDocument/2006/customXml" ds:itemID="{e54bacac-3d15-4032-94cf-4f5479db060b}">
  <ds:schemaRefs/>
</ds:datastoreItem>
</file>

<file path=customXml/itemProps90.xml><?xml version="1.0" encoding="utf-8"?>
<ds:datastoreItem xmlns:ds="http://schemas.openxmlformats.org/officeDocument/2006/customXml" ds:itemID="{8175cd52-0ac1-4685-a632-9244237d8b48}">
  <ds:schemaRefs/>
</ds:datastoreItem>
</file>

<file path=customXml/itemProps91.xml><?xml version="1.0" encoding="utf-8"?>
<ds:datastoreItem xmlns:ds="http://schemas.openxmlformats.org/officeDocument/2006/customXml" ds:itemID="{c775d09f-6cbc-44cb-8f51-47093c95b944}">
  <ds:schemaRefs/>
</ds:datastoreItem>
</file>

<file path=customXml/itemProps92.xml><?xml version="1.0" encoding="utf-8"?>
<ds:datastoreItem xmlns:ds="http://schemas.openxmlformats.org/officeDocument/2006/customXml" ds:itemID="{224e5dc9-486f-444a-aef3-5eab17801204}">
  <ds:schemaRefs/>
</ds:datastoreItem>
</file>

<file path=customXml/itemProps93.xml><?xml version="1.0" encoding="utf-8"?>
<ds:datastoreItem xmlns:ds="http://schemas.openxmlformats.org/officeDocument/2006/customXml" ds:itemID="{333f9b0d-a9f4-4d28-a06f-1e4266bb9a81}">
  <ds:schemaRefs/>
</ds:datastoreItem>
</file>

<file path=customXml/itemProps94.xml><?xml version="1.0" encoding="utf-8"?>
<ds:datastoreItem xmlns:ds="http://schemas.openxmlformats.org/officeDocument/2006/customXml" ds:itemID="{f52c7884-f063-44e7-81e0-cd75ea2153bb}">
  <ds:schemaRefs/>
</ds:datastoreItem>
</file>

<file path=customXml/itemProps95.xml><?xml version="1.0" encoding="utf-8"?>
<ds:datastoreItem xmlns:ds="http://schemas.openxmlformats.org/officeDocument/2006/customXml" ds:itemID="{6996ce69-113e-41ae-a19a-c8275f077ee4}">
  <ds:schemaRefs/>
</ds:datastoreItem>
</file>

<file path=customXml/itemProps96.xml><?xml version="1.0" encoding="utf-8"?>
<ds:datastoreItem xmlns:ds="http://schemas.openxmlformats.org/officeDocument/2006/customXml" ds:itemID="{dcab8c85-889a-4604-bb67-6b7acfaf7743}">
  <ds:schemaRefs/>
</ds:datastoreItem>
</file>

<file path=customXml/itemProps97.xml><?xml version="1.0" encoding="utf-8"?>
<ds:datastoreItem xmlns:ds="http://schemas.openxmlformats.org/officeDocument/2006/customXml" ds:itemID="{32838713-b78d-4a8b-a9e1-74b46bf2bf34}">
  <ds:schemaRefs/>
</ds:datastoreItem>
</file>

<file path=customXml/itemProps98.xml><?xml version="1.0" encoding="utf-8"?>
<ds:datastoreItem xmlns:ds="http://schemas.openxmlformats.org/officeDocument/2006/customXml" ds:itemID="{7f1ea94f-12ad-476c-919c-648dc7fc5d39}">
  <ds:schemaRefs/>
</ds:datastoreItem>
</file>

<file path=docProps/app.xml><?xml version="1.0" encoding="utf-8"?>
<Properties xmlns="http://schemas.openxmlformats.org/officeDocument/2006/extended-properties" xmlns:vt="http://schemas.openxmlformats.org/officeDocument/2006/docPropsVTypes">
  <Pages>61</Pag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2025-01-21T10:50:00Z</dcterms:created>
  <dc:creator>Dell</dc:creator>
  <cp:lastModifiedBy>Dell</cp:lastModifiedBy>
  <dcterms:modified xsi:type="dcterms:W3CDTF">2025-01-24T03:30:34Z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B25F165758B24BB78A29A510901F0729_13</vt:lpwstr>
  </property>
</Properties>
</file>