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rPr>
          <w:rFonts w:hint="eastAsia" w:eastAsia="方正小标宋_GBK"/>
          <w:lang w:eastAsia="zh-CN"/>
        </w:rPr>
      </w:pPr>
      <w:r>
        <w:rPr>
          <w:rFonts w:ascii="方正小标宋_GBK" w:hAnsi="方正小标宋_GBK" w:eastAsia="方正小标宋_GBK" w:cs="方正小标宋_GBK"/>
          <w:sz w:val="72"/>
        </w:rPr>
        <w:t>天津市滨海新区</w:t>
      </w:r>
      <w:r>
        <w:rPr>
          <w:rFonts w:hint="eastAsia" w:ascii="方正小标宋_GBK" w:hAnsi="方正小标宋_GBK" w:eastAsia="方正小标宋_GBK" w:cs="方正小标宋_GBK"/>
          <w:sz w:val="72"/>
          <w:lang w:eastAsia="zh-CN"/>
        </w:rPr>
        <w:t>文物保护与旅游服务中心</w:t>
      </w:r>
    </w:p>
    <w:p>
      <w:pPr>
        <w:spacing w:before="0" w:after="0" w:line="240" w:lineRule="auto"/>
        <w:ind w:firstLine="0"/>
        <w:jc w:val="center"/>
        <w:outlineLvl w:val="9"/>
      </w:pPr>
      <w:r>
        <w:rPr>
          <w:rFonts w:ascii="方正小标宋_GBK" w:hAnsi="方正小标宋_GBK" w:eastAsia="方正小标宋_GBK" w:cs="方正小标宋_GBK"/>
          <w:sz w:val="72"/>
        </w:rPr>
        <w:t>2026年部门预算绩效文本</w:t>
      </w:r>
    </w:p>
    <w:p>
      <w:pPr>
        <w:spacing w:before="0" w:after="0" w:line="240" w:lineRule="auto"/>
        <w:ind w:firstLine="0"/>
        <w:jc w:val="center"/>
        <w:outlineLvl w:val="9"/>
      </w:pP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方正楷体_GBK" w:hAnsi="方正楷体_GBK" w:eastAsia="方正楷体_GBK" w:cs="方正楷体_GBK"/>
          <w:b/>
          <w:sz w:val="32"/>
        </w:rPr>
        <w:t>天津市滨海新区文化和旅游局编制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sz w:val="32"/>
        </w:rPr>
        <w:t>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sz w:val="36"/>
        </w:rPr>
        <w:t xml:space="preserve"> </w:t>
      </w:r>
    </w:p>
    <w:p>
      <w:pPr>
        <w:spacing w:before="0" w:after="0" w:line="240" w:lineRule="auto"/>
        <w:ind w:firstLine="0"/>
        <w:jc w:val="center"/>
        <w:outlineLvl w:val="0"/>
      </w:pPr>
      <w:r>
        <w:rPr>
          <w:rFonts w:ascii="方正小标宋_GBK" w:hAnsi="方正小标宋_GBK" w:eastAsia="方正小标宋_GBK" w:cs="方正小标宋_GBK"/>
          <w:sz w:val="36"/>
        </w:rPr>
        <w:t>目    录</w:t>
      </w:r>
    </w:p>
    <w:p>
      <w:pPr>
        <w:spacing w:before="0" w:after="0" w:line="240" w:lineRule="auto"/>
        <w:ind w:firstLine="0"/>
        <w:jc w:val="center"/>
        <w:outlineLvl w:val="9"/>
      </w:pPr>
      <w:r>
        <w:rPr>
          <w:rFonts w:ascii="方正小标宋_GBK" w:hAnsi="方正小标宋_GBK" w:eastAsia="方正小标宋_GBK" w:cs="方正小标宋_GBK"/>
          <w:sz w:val="30"/>
        </w:rPr>
        <w:t xml:space="preserve"> </w:t>
      </w:r>
    </w:p>
    <w:p>
      <w:pPr>
        <w:spacing w:before="0" w:after="0" w:line="240" w:lineRule="auto"/>
        <w:ind w:firstLine="0"/>
        <w:jc w:val="center"/>
        <w:outlineLvl w:val="9"/>
      </w:pPr>
      <w:r>
        <w:rPr>
          <w:rFonts w:ascii="方正小标宋_GBK" w:hAnsi="方正小标宋_GBK" w:eastAsia="方正小标宋_GBK" w:cs="方正小标宋_GBK"/>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3</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sz w:val="30"/>
        </w:rPr>
        <w:t>第二部分 预算项目绩效目标</w:t>
      </w:r>
    </w:p>
    <w:p>
      <w:pPr>
        <w:pStyle w:val="2"/>
        <w:tabs>
          <w:tab w:val="right" w:leader="dot" w:pos="9282"/>
        </w:tabs>
      </w:pPr>
      <w:bookmarkStart w:id="13" w:name="_GoBack"/>
      <w:r>
        <w:fldChar w:fldCharType="begin"/>
      </w:r>
      <w:r>
        <w:instrText xml:space="preserve">TOC \o "4-4" \h \z \u</w:instrText>
      </w:r>
      <w:r>
        <w:fldChar w:fldCharType="separate"/>
      </w:r>
      <w:r>
        <w:fldChar w:fldCharType="begin"/>
      </w:r>
      <w:r>
        <w:instrText xml:space="preserve"> HYPERLINK \l _Toc1709081842 </w:instrText>
      </w:r>
      <w:r>
        <w:fldChar w:fldCharType="separate"/>
      </w:r>
      <w:r>
        <w:t>37.2026年文保中心旅游发展专项绩效目标表</w:t>
      </w:r>
      <w:r>
        <w:tab/>
      </w:r>
      <w:r>
        <w:fldChar w:fldCharType="begin"/>
      </w:r>
      <w:r>
        <w:instrText xml:space="preserve"> PAGEREF _Toc1709081842 </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_Toc466742357 </w:instrText>
      </w:r>
      <w:r>
        <w:fldChar w:fldCharType="separate"/>
      </w:r>
      <w:r>
        <w:t>38.2026年文保中心运转类项目绩效目标表</w:t>
      </w:r>
      <w:r>
        <w:tab/>
      </w:r>
      <w:r>
        <w:fldChar w:fldCharType="begin"/>
      </w:r>
      <w:r>
        <w:instrText xml:space="preserve"> PAGEREF _Toc466742357 </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_Toc1299946668 </w:instrText>
      </w:r>
      <w:r>
        <w:fldChar w:fldCharType="separate"/>
      </w:r>
      <w:r>
        <w:t>39.2026年文保中心博物馆免费开放资金绩效目标表</w:t>
      </w:r>
      <w:r>
        <w:tab/>
      </w:r>
      <w:r>
        <w:fldChar w:fldCharType="begin"/>
      </w:r>
      <w:r>
        <w:instrText xml:space="preserve"> PAGEREF _Toc1299946668 </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_Toc1267308509 </w:instrText>
      </w:r>
      <w:r>
        <w:fldChar w:fldCharType="separate"/>
      </w:r>
      <w:r>
        <w:t>40.2026年文保中心单位资金（自有资金）（事业单位经营收入资金）绩效目标表</w:t>
      </w:r>
      <w:r>
        <w:tab/>
      </w:r>
      <w:r>
        <w:fldChar w:fldCharType="begin"/>
      </w:r>
      <w:r>
        <w:instrText xml:space="preserve"> PAGEREF _Toc1267308509 </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_Toc2078890673 </w:instrText>
      </w:r>
      <w:r>
        <w:fldChar w:fldCharType="separate"/>
      </w:r>
      <w:r>
        <w:t>41.2026年文物保护和博物馆宣教工作绩效目标表</w:t>
      </w:r>
      <w:r>
        <w:tab/>
      </w:r>
      <w:r>
        <w:fldChar w:fldCharType="begin"/>
      </w:r>
      <w:r>
        <w:instrText xml:space="preserve"> PAGEREF _Toc2078890673 </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_Toc1248875473 </w:instrText>
      </w:r>
      <w:r>
        <w:fldChar w:fldCharType="separate"/>
      </w:r>
      <w:r>
        <w:t>42.2026年文物保护和旅游推广相关项目*绩效目标表</w:t>
      </w:r>
      <w:r>
        <w:tab/>
      </w:r>
      <w:r>
        <w:fldChar w:fldCharType="begin"/>
      </w:r>
      <w:r>
        <w:instrText xml:space="preserve"> PAGEREF _Toc1248875473 </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_Toc206586007 </w:instrText>
      </w:r>
      <w:r>
        <w:fldChar w:fldCharType="separate"/>
      </w:r>
      <w:r>
        <w:t>43.大沽口炮台抢险加固工程项目费用（财教[2015]201号）（结余结转）（自有资金）绩效目标表</w:t>
      </w:r>
      <w:r>
        <w:tab/>
      </w:r>
      <w:r>
        <w:fldChar w:fldCharType="begin"/>
      </w:r>
      <w:r>
        <w:instrText xml:space="preserve"> PAGEREF _Toc206586007 </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_Toc148693971 </w:instrText>
      </w:r>
      <w:r>
        <w:fldChar w:fldCharType="separate"/>
      </w:r>
      <w:r>
        <w:t>44.天津市财政局关于提前下达2025年国家文物保护资金预算的通知  津财教指【2024】126号绩效目标表</w:t>
      </w:r>
      <w:r>
        <w:tab/>
      </w:r>
      <w:r>
        <w:fldChar w:fldCharType="begin"/>
      </w:r>
      <w:r>
        <w:instrText xml:space="preserve"> PAGEREF _Toc148693971 </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_Toc1527930890 </w:instrText>
      </w:r>
      <w:r>
        <w:fldChar w:fldCharType="separate"/>
      </w:r>
      <w:r>
        <w:t>45.文保中心-天津市财政局关于提前下达2026年国家文物保护资金预算的通知（津财教指【2025】96号）绩效目标表</w:t>
      </w:r>
      <w:r>
        <w:tab/>
      </w:r>
      <w:r>
        <w:fldChar w:fldCharType="begin"/>
      </w:r>
      <w:r>
        <w:instrText xml:space="preserve"> PAGEREF _Toc1527930890 </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_Toc1661780309 </w:instrText>
      </w:r>
      <w:r>
        <w:fldChar w:fldCharType="separate"/>
      </w:r>
      <w:r>
        <w:t>46.文保中心-天津市财政局关于提前下达2026年中央支持地方公共文化服务体系建设补助资金预算的通知（津财教指[2025]95号）绩效目标表</w:t>
      </w:r>
      <w:r>
        <w:tab/>
      </w:r>
      <w:r>
        <w:fldChar w:fldCharType="begin"/>
      </w:r>
      <w:r>
        <w:instrText xml:space="preserve"> PAGEREF _Toc1661780309 </w:instrText>
      </w:r>
      <w:r>
        <w:fldChar w:fldCharType="separate"/>
      </w:r>
      <w:r>
        <w:t>17</w:t>
      </w:r>
      <w:r>
        <w:fldChar w:fldCharType="end"/>
      </w:r>
      <w:r>
        <w:fldChar w:fldCharType="end"/>
      </w:r>
    </w:p>
    <w:p>
      <w:pPr>
        <w:pStyle w:val="2"/>
        <w:tabs>
          <w:tab w:val="right" w:leader="dot" w:pos="9282"/>
        </w:tabs>
        <w:sectPr>
          <w:footerReference r:id="rId3" w:type="default"/>
          <w:footerReference r:id="rId4" w:type="even"/>
          <w:pgSz w:w="11900" w:h="16840"/>
          <w:pgMar w:top="1984" w:right="1304" w:bottom="1134" w:left="1304" w:header="720" w:footer="720" w:gutter="0"/>
          <w:pgNumType w:start="1"/>
          <w:cols w:space="720" w:num="1"/>
        </w:sectPr>
      </w:pPr>
      <w:r>
        <w:fldChar w:fldCharType="end"/>
      </w:r>
      <w:bookmarkEnd w:id="13"/>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0" w:after="0" w:line="240" w:lineRule="auto"/>
        <w:ind w:firstLine="0"/>
        <w:jc w:val="center"/>
        <w:outlineLvl w:val="9"/>
      </w:pPr>
      <w:r>
        <w:rPr>
          <w:rFonts w:ascii="方正小标宋_GBK" w:hAnsi="方正小标宋_GBK" w:eastAsia="方正小标宋_GBK" w:cs="方正小标宋_GBK"/>
          <w:sz w:val="44"/>
        </w:rPr>
        <w:t>第一部分</w:t>
      </w:r>
    </w:p>
    <w:p>
      <w:pPr>
        <w:spacing w:before="0" w:after="0" w:line="240" w:lineRule="auto"/>
        <w:ind w:firstLine="0"/>
        <w:jc w:val="center"/>
        <w:outlineLvl w:val="0"/>
      </w:pPr>
      <w:r>
        <w:rPr>
          <w:rFonts w:ascii="方正小标宋_GBK" w:hAnsi="方正小标宋_GBK" w:eastAsia="方正小标宋_GBK" w:cs="方正小标宋_GBK"/>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sz w:val="28"/>
        </w:rPr>
        <w:t>一、总体绩效目标</w:t>
      </w:r>
      <w:bookmarkEnd w:id="0"/>
    </w:p>
    <w:p>
      <w:pPr>
        <w:pStyle w:val="8"/>
      </w:pPr>
    </w:p>
    <w:p>
      <w:pPr>
        <w:spacing w:before="10" w:after="10"/>
        <w:ind w:firstLine="560"/>
        <w:jc w:val="left"/>
        <w:outlineLvl w:val="1"/>
      </w:pPr>
      <w:bookmarkStart w:id="1" w:name="_Toc_2_2_0000000002"/>
      <w:r>
        <w:rPr>
          <w:rFonts w:ascii="方正黑体_GBK" w:hAnsi="方正黑体_GBK" w:eastAsia="方正黑体_GBK" w:cs="方正黑体_GBK"/>
          <w:sz w:val="28"/>
        </w:rPr>
        <w:t>二、分项绩效目标</w:t>
      </w:r>
      <w:bookmarkEnd w:id="1"/>
    </w:p>
    <w:p>
      <w:pPr>
        <w:pStyle w:val="9"/>
      </w:pPr>
    </w:p>
    <w:p>
      <w:pPr>
        <w:spacing w:before="10" w:after="10"/>
        <w:ind w:firstLine="560"/>
        <w:jc w:val="left"/>
        <w:outlineLvl w:val="1"/>
      </w:pPr>
      <w:bookmarkStart w:id="2" w:name="_Toc_2_2_0000000003"/>
      <w:r>
        <w:rPr>
          <w:rFonts w:ascii="方正黑体_GBK" w:hAnsi="方正黑体_GBK" w:eastAsia="方正黑体_GBK" w:cs="方正黑体_GBK"/>
          <w:sz w:val="28"/>
        </w:rPr>
        <w:t>三、工作保障措施</w:t>
      </w:r>
      <w:bookmarkEnd w:id="2"/>
    </w:p>
    <w:p>
      <w:pPr>
        <w:pStyle w:val="10"/>
      </w:pP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sz w:val="21"/>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44"/>
        </w:rPr>
        <w:t>第二部分</w:t>
      </w:r>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0" w:after="0" w:line="240" w:lineRule="auto"/>
        <w:ind w:firstLine="0"/>
        <w:jc w:val="center"/>
        <w:outlineLvl w:val="0"/>
      </w:pPr>
      <w:r>
        <w:rPr>
          <w:rFonts w:ascii="方正小标宋_GBK" w:hAnsi="方正小标宋_GBK" w:eastAsia="方正小标宋_GBK" w:cs="方正小标宋_GBK"/>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p>
    <w:p>
      <w:pPr>
        <w:spacing w:before="0" w:after="0"/>
        <w:ind w:firstLine="560"/>
        <w:jc w:val="left"/>
        <w:outlineLvl w:val="3"/>
      </w:pPr>
      <w:bookmarkStart w:id="3" w:name="_Toc1709081842"/>
      <w:r>
        <w:rPr>
          <w:rFonts w:ascii="方正仿宋_GBK" w:hAnsi="方正仿宋_GBK" w:eastAsia="方正仿宋_GBK" w:cs="方正仿宋_GBK"/>
          <w:sz w:val="28"/>
        </w:rPr>
        <w:t>37.2026年文保中心旅游发展专项绩效目标表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363203天津市滨海新区文物保护与旅游服务中心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2026年文保中心旅游发展专项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20000.00</w:t>
            </w:r>
          </w:p>
        </w:tc>
        <w:tc>
          <w:tcPr>
            <w:tcW w:w="1587" w:type="dxa"/>
            <w:vAlign w:val="center"/>
          </w:tcPr>
          <w:p>
            <w:pPr>
              <w:pStyle w:val="14"/>
            </w:pPr>
            <w:r>
              <w:t>其中：财政    资金</w:t>
            </w:r>
          </w:p>
        </w:tc>
        <w:tc>
          <w:tcPr>
            <w:tcW w:w="1843" w:type="dxa"/>
            <w:vAlign w:val="center"/>
          </w:tcPr>
          <w:p>
            <w:pPr>
              <w:pStyle w:val="13"/>
            </w:pPr>
            <w:r>
              <w:t>20000.00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通过开展旅游宣推活动，提升滨海旅游知名度和美誉度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1.通过开展旅游宣推活动，提升滨海旅游知名度和美誉度</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组织旅游宣传活动或宣传品印刷</w:t>
            </w:r>
          </w:p>
        </w:tc>
        <w:tc>
          <w:tcPr>
            <w:tcW w:w="3430" w:type="dxa"/>
            <w:vAlign w:val="center"/>
          </w:tcPr>
          <w:p>
            <w:pPr>
              <w:pStyle w:val="13"/>
            </w:pPr>
            <w:r>
              <w:t>组织旅游宣传活动或宣传品印刷</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旅游宣推完成率</w:t>
            </w:r>
          </w:p>
        </w:tc>
        <w:tc>
          <w:tcPr>
            <w:tcW w:w="3430" w:type="dxa"/>
            <w:vAlign w:val="center"/>
          </w:tcPr>
          <w:p>
            <w:pPr>
              <w:pStyle w:val="13"/>
            </w:pPr>
            <w:r>
              <w:t>旅游宣推完成率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旅游宣推完成时间</w:t>
            </w:r>
          </w:p>
        </w:tc>
        <w:tc>
          <w:tcPr>
            <w:tcW w:w="3430" w:type="dxa"/>
            <w:vAlign w:val="center"/>
          </w:tcPr>
          <w:p>
            <w:pPr>
              <w:pStyle w:val="13"/>
            </w:pPr>
            <w:r>
              <w:t>旅游宣推完成时间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活动组织或宣传品设计制作费用</w:t>
            </w:r>
          </w:p>
        </w:tc>
        <w:tc>
          <w:tcPr>
            <w:tcW w:w="3430" w:type="dxa"/>
            <w:vAlign w:val="center"/>
          </w:tcPr>
          <w:p>
            <w:pPr>
              <w:pStyle w:val="13"/>
            </w:pPr>
            <w:r>
              <w:t>活动组织或宣传品设计制作费用</w:t>
            </w:r>
          </w:p>
        </w:tc>
        <w:tc>
          <w:tcPr>
            <w:tcW w:w="2551" w:type="dxa"/>
            <w:vAlign w:val="center"/>
          </w:tcPr>
          <w:p>
            <w:pPr>
              <w:pStyle w:val="13"/>
            </w:pPr>
            <w:r>
              <w:t>≤20000元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提升滨海旅游知名度</w:t>
            </w:r>
          </w:p>
        </w:tc>
        <w:tc>
          <w:tcPr>
            <w:tcW w:w="3430" w:type="dxa"/>
            <w:vAlign w:val="center"/>
          </w:tcPr>
          <w:p>
            <w:pPr>
              <w:pStyle w:val="13"/>
            </w:pPr>
            <w:r>
              <w:t>提升滨海旅游知名度</w:t>
            </w:r>
          </w:p>
        </w:tc>
        <w:tc>
          <w:tcPr>
            <w:tcW w:w="2551" w:type="dxa"/>
            <w:vAlign w:val="center"/>
          </w:tcPr>
          <w:p>
            <w:pPr>
              <w:pStyle w:val="13"/>
            </w:pPr>
            <w:r>
              <w:t>比上一年提升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增加媒体曝光量</w:t>
            </w:r>
          </w:p>
        </w:tc>
        <w:tc>
          <w:tcPr>
            <w:tcW w:w="3430" w:type="dxa"/>
            <w:vAlign w:val="center"/>
          </w:tcPr>
          <w:p>
            <w:pPr>
              <w:pStyle w:val="13"/>
            </w:pPr>
            <w:r>
              <w:t>增加媒体曝光量</w:t>
            </w:r>
          </w:p>
        </w:tc>
        <w:tc>
          <w:tcPr>
            <w:tcW w:w="2551" w:type="dxa"/>
            <w:vAlign w:val="center"/>
          </w:tcPr>
          <w:p>
            <w:pPr>
              <w:pStyle w:val="13"/>
            </w:pPr>
            <w:r>
              <w:t>长期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旅游宣传对象满意度</w:t>
            </w:r>
          </w:p>
        </w:tc>
        <w:tc>
          <w:tcPr>
            <w:tcW w:w="3430" w:type="dxa"/>
            <w:vAlign w:val="center"/>
          </w:tcPr>
          <w:p>
            <w:pPr>
              <w:pStyle w:val="13"/>
            </w:pPr>
            <w:r>
              <w:t>旅游宣传对象满意度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 w:name="_Toc466742357"/>
      <w:r>
        <w:rPr>
          <w:rFonts w:ascii="方正仿宋_GBK" w:hAnsi="方正仿宋_GBK" w:eastAsia="方正仿宋_GBK" w:cs="方正仿宋_GBK"/>
          <w:sz w:val="28"/>
        </w:rPr>
        <w:t>38.2026年文保中心运转类项目绩效目标表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363203天津市滨海新区文物保护与旅游服务中心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2026年文保中心运转类项目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1660000.00</w:t>
            </w:r>
          </w:p>
        </w:tc>
        <w:tc>
          <w:tcPr>
            <w:tcW w:w="1587" w:type="dxa"/>
            <w:vAlign w:val="center"/>
          </w:tcPr>
          <w:p>
            <w:pPr>
              <w:pStyle w:val="14"/>
            </w:pPr>
            <w:r>
              <w:t>其中：财政    资金</w:t>
            </w:r>
          </w:p>
        </w:tc>
        <w:tc>
          <w:tcPr>
            <w:tcW w:w="1843" w:type="dxa"/>
            <w:vAlign w:val="center"/>
          </w:tcPr>
          <w:p>
            <w:pPr>
              <w:pStyle w:val="13"/>
            </w:pPr>
            <w:r>
              <w:t>1660000.00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通过使用刚性支出运转费用，保证天津市滨海新区文保中心博物馆网络正常使用，水电正常供应，物业、消防等项目保障场馆安全，正常向公众开放。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1.通过使用刚性支出运转费用，保证天津市滨海新区文保中心博物馆网络正常使用，水电正常供应，物业、消防等项目保障场馆安全，正常向公众开放。</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开放场馆数量</w:t>
            </w:r>
          </w:p>
        </w:tc>
        <w:tc>
          <w:tcPr>
            <w:tcW w:w="3430" w:type="dxa"/>
            <w:vAlign w:val="center"/>
          </w:tcPr>
          <w:p>
            <w:pPr>
              <w:pStyle w:val="13"/>
            </w:pPr>
            <w:r>
              <w:t>开放场馆数量</w:t>
            </w:r>
          </w:p>
        </w:tc>
        <w:tc>
          <w:tcPr>
            <w:tcW w:w="2551" w:type="dxa"/>
            <w:vAlign w:val="center"/>
          </w:tcPr>
          <w:p>
            <w:pPr>
              <w:pStyle w:val="13"/>
            </w:pPr>
            <w:r>
              <w:t>≥2座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场馆正常开放率</w:t>
            </w:r>
          </w:p>
        </w:tc>
        <w:tc>
          <w:tcPr>
            <w:tcW w:w="3430" w:type="dxa"/>
            <w:vAlign w:val="center"/>
          </w:tcPr>
          <w:p>
            <w:pPr>
              <w:pStyle w:val="13"/>
            </w:pPr>
            <w:r>
              <w:t>场馆正常开放率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场馆开放时限</w:t>
            </w:r>
          </w:p>
        </w:tc>
        <w:tc>
          <w:tcPr>
            <w:tcW w:w="3430" w:type="dxa"/>
            <w:vAlign w:val="center"/>
          </w:tcPr>
          <w:p>
            <w:pPr>
              <w:pStyle w:val="13"/>
            </w:pPr>
            <w:r>
              <w:t>场馆开放时限</w:t>
            </w:r>
          </w:p>
        </w:tc>
        <w:tc>
          <w:tcPr>
            <w:tcW w:w="2551" w:type="dxa"/>
            <w:vAlign w:val="center"/>
          </w:tcPr>
          <w:p>
            <w:pPr>
              <w:pStyle w:val="13"/>
            </w:pPr>
            <w:r>
              <w:t>≥300天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博物馆运转资金成本</w:t>
            </w:r>
          </w:p>
        </w:tc>
        <w:tc>
          <w:tcPr>
            <w:tcW w:w="3430" w:type="dxa"/>
            <w:vAlign w:val="center"/>
          </w:tcPr>
          <w:p>
            <w:pPr>
              <w:pStyle w:val="13"/>
            </w:pPr>
            <w:r>
              <w:t>博物馆运转资金成本</w:t>
            </w:r>
          </w:p>
        </w:tc>
        <w:tc>
          <w:tcPr>
            <w:tcW w:w="2551" w:type="dxa"/>
            <w:vAlign w:val="center"/>
          </w:tcPr>
          <w:p>
            <w:pPr>
              <w:pStyle w:val="13"/>
            </w:pPr>
            <w:r>
              <w:t>≤1660000元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保证场馆面向群众正常开放</w:t>
            </w:r>
          </w:p>
        </w:tc>
        <w:tc>
          <w:tcPr>
            <w:tcW w:w="3430" w:type="dxa"/>
            <w:vAlign w:val="center"/>
          </w:tcPr>
          <w:p>
            <w:pPr>
              <w:pStyle w:val="13"/>
            </w:pPr>
            <w:r>
              <w:t>保证场馆面向群众正常开放</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参观群众满意度</w:t>
            </w:r>
          </w:p>
        </w:tc>
        <w:tc>
          <w:tcPr>
            <w:tcW w:w="3430" w:type="dxa"/>
            <w:vAlign w:val="center"/>
          </w:tcPr>
          <w:p>
            <w:pPr>
              <w:pStyle w:val="13"/>
            </w:pPr>
            <w:r>
              <w:t>参观群众满意度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 w:name="_Toc1299946668"/>
      <w:r>
        <w:rPr>
          <w:rFonts w:ascii="方正仿宋_GBK" w:hAnsi="方正仿宋_GBK" w:eastAsia="方正仿宋_GBK" w:cs="方正仿宋_GBK"/>
          <w:sz w:val="28"/>
        </w:rPr>
        <w:t>39.2026年文保中心博物馆免费开放资金绩效目标表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363203天津市滨海新区文物保护与旅游服务中心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2026年文保中心博物馆免费开放资金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600000.00</w:t>
            </w:r>
          </w:p>
        </w:tc>
        <w:tc>
          <w:tcPr>
            <w:tcW w:w="1587" w:type="dxa"/>
            <w:vAlign w:val="center"/>
          </w:tcPr>
          <w:p>
            <w:pPr>
              <w:pStyle w:val="14"/>
            </w:pPr>
            <w:r>
              <w:t>其中：财政    资金</w:t>
            </w:r>
          </w:p>
        </w:tc>
        <w:tc>
          <w:tcPr>
            <w:tcW w:w="1843" w:type="dxa"/>
            <w:vAlign w:val="center"/>
          </w:tcPr>
          <w:p>
            <w:pPr>
              <w:pStyle w:val="13"/>
            </w:pPr>
            <w:r>
              <w:t>600000.00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利用免费开放资金更好的完善博物馆的基础设施建设，保障场馆面向群众免费开放。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1.利用免费开放资金更好的完善博物馆的基础设施建设，保障场馆面向群众免费开放。</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开放场馆数量</w:t>
            </w:r>
          </w:p>
        </w:tc>
        <w:tc>
          <w:tcPr>
            <w:tcW w:w="3430" w:type="dxa"/>
            <w:vAlign w:val="center"/>
          </w:tcPr>
          <w:p>
            <w:pPr>
              <w:pStyle w:val="13"/>
            </w:pPr>
            <w:r>
              <w:t>开放场馆数量</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免费开放资金利用率</w:t>
            </w:r>
          </w:p>
        </w:tc>
        <w:tc>
          <w:tcPr>
            <w:tcW w:w="3430" w:type="dxa"/>
            <w:vAlign w:val="center"/>
          </w:tcPr>
          <w:p>
            <w:pPr>
              <w:pStyle w:val="13"/>
            </w:pPr>
            <w:r>
              <w:t>免费开放资金利用率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免费开放时间</w:t>
            </w:r>
          </w:p>
        </w:tc>
        <w:tc>
          <w:tcPr>
            <w:tcW w:w="3430" w:type="dxa"/>
            <w:vAlign w:val="center"/>
          </w:tcPr>
          <w:p>
            <w:pPr>
              <w:pStyle w:val="13"/>
            </w:pPr>
            <w:r>
              <w:t>免费开放时间</w:t>
            </w:r>
          </w:p>
        </w:tc>
        <w:tc>
          <w:tcPr>
            <w:tcW w:w="2551" w:type="dxa"/>
            <w:vAlign w:val="center"/>
          </w:tcPr>
          <w:p>
            <w:pPr>
              <w:pStyle w:val="13"/>
            </w:pPr>
            <w:r>
              <w:t>≥300天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免费开放资金成本</w:t>
            </w:r>
          </w:p>
        </w:tc>
        <w:tc>
          <w:tcPr>
            <w:tcW w:w="3430" w:type="dxa"/>
            <w:vAlign w:val="center"/>
          </w:tcPr>
          <w:p>
            <w:pPr>
              <w:pStyle w:val="13"/>
            </w:pPr>
            <w:r>
              <w:t>免费开放资金成本</w:t>
            </w:r>
          </w:p>
        </w:tc>
        <w:tc>
          <w:tcPr>
            <w:tcW w:w="2551" w:type="dxa"/>
            <w:vAlign w:val="center"/>
          </w:tcPr>
          <w:p>
            <w:pPr>
              <w:pStyle w:val="13"/>
            </w:pPr>
            <w:r>
              <w:t>≤600000元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保障场馆面向群众免费开放</w:t>
            </w:r>
          </w:p>
        </w:tc>
        <w:tc>
          <w:tcPr>
            <w:tcW w:w="3430" w:type="dxa"/>
            <w:vAlign w:val="center"/>
          </w:tcPr>
          <w:p>
            <w:pPr>
              <w:pStyle w:val="13"/>
            </w:pPr>
            <w:r>
              <w:t>保障场馆面向群众免费开放</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参观群众满意度</w:t>
            </w:r>
          </w:p>
        </w:tc>
        <w:tc>
          <w:tcPr>
            <w:tcW w:w="3430" w:type="dxa"/>
            <w:vAlign w:val="center"/>
          </w:tcPr>
          <w:p>
            <w:pPr>
              <w:pStyle w:val="13"/>
            </w:pPr>
            <w:r>
              <w:t>参观群众满意度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6" w:name="_Toc1267308509"/>
      <w:r>
        <w:rPr>
          <w:rFonts w:ascii="方正仿宋_GBK" w:hAnsi="方正仿宋_GBK" w:eastAsia="方正仿宋_GBK" w:cs="方正仿宋_GBK"/>
          <w:sz w:val="28"/>
        </w:rPr>
        <w:t>40.2026年文保中心单位资金（自有资金）（事业单位经营收入资金）绩效目标表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363203天津市滨海新区文物保护与旅游服务中心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2026年文保中心单位资金（自有资金）（事业单位经营收入资金）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2000000.00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2000000.00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通过利用大沽口炮台遗址博物馆门票收入，用于支付本单位往年欠款、物业费、工程款、博物馆日常维护费等其他项目支出，提升国家及公众对博物馆的重视程度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1.通过利用大沽口炮台遗址博物馆门票收入，用于支付本单位往年欠款、物业费、工程款、博物馆日常维护费等其他项目支出，提升国家及公众对博物馆的重视程度</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款项支付数量</w:t>
            </w:r>
          </w:p>
        </w:tc>
        <w:tc>
          <w:tcPr>
            <w:tcW w:w="3430" w:type="dxa"/>
            <w:vAlign w:val="center"/>
          </w:tcPr>
          <w:p>
            <w:pPr>
              <w:pStyle w:val="13"/>
            </w:pPr>
            <w:r>
              <w:t>款项支付数量</w:t>
            </w:r>
          </w:p>
        </w:tc>
        <w:tc>
          <w:tcPr>
            <w:tcW w:w="2551" w:type="dxa"/>
            <w:vAlign w:val="center"/>
          </w:tcPr>
          <w:p>
            <w:pPr>
              <w:pStyle w:val="13"/>
            </w:pPr>
            <w: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款项支付合规率</w:t>
            </w:r>
          </w:p>
        </w:tc>
        <w:tc>
          <w:tcPr>
            <w:tcW w:w="3430" w:type="dxa"/>
            <w:vAlign w:val="center"/>
          </w:tcPr>
          <w:p>
            <w:pPr>
              <w:pStyle w:val="13"/>
            </w:pPr>
            <w:r>
              <w:t>款项支付合规率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款项支付完成时间</w:t>
            </w:r>
          </w:p>
        </w:tc>
        <w:tc>
          <w:tcPr>
            <w:tcW w:w="3430" w:type="dxa"/>
            <w:vAlign w:val="center"/>
          </w:tcPr>
          <w:p>
            <w:pPr>
              <w:pStyle w:val="13"/>
            </w:pPr>
            <w:r>
              <w:t>款项支付完成时间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款项支付成本</w:t>
            </w:r>
          </w:p>
        </w:tc>
        <w:tc>
          <w:tcPr>
            <w:tcW w:w="3430" w:type="dxa"/>
            <w:vAlign w:val="center"/>
          </w:tcPr>
          <w:p>
            <w:pPr>
              <w:pStyle w:val="13"/>
            </w:pPr>
            <w:r>
              <w:t>款项支付成本</w:t>
            </w:r>
          </w:p>
        </w:tc>
        <w:tc>
          <w:tcPr>
            <w:tcW w:w="2551" w:type="dxa"/>
            <w:vAlign w:val="center"/>
          </w:tcPr>
          <w:p>
            <w:pPr>
              <w:pStyle w:val="13"/>
            </w:pPr>
            <w:r>
              <w:t>≤2000000元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提升国家及公众对博物馆的重视程度</w:t>
            </w:r>
          </w:p>
        </w:tc>
        <w:tc>
          <w:tcPr>
            <w:tcW w:w="3430" w:type="dxa"/>
            <w:vAlign w:val="center"/>
          </w:tcPr>
          <w:p>
            <w:pPr>
              <w:pStyle w:val="13"/>
            </w:pPr>
            <w:r>
              <w:t>提升国家及公众对博物馆的重视程度</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3430" w:type="dxa"/>
            <w:vAlign w:val="center"/>
          </w:tcPr>
          <w:p>
            <w:pPr>
              <w:pStyle w:val="13"/>
            </w:pPr>
            <w:r>
              <w:t>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7" w:name="_Toc2078890673"/>
      <w:r>
        <w:rPr>
          <w:rFonts w:ascii="方正仿宋_GBK" w:hAnsi="方正仿宋_GBK" w:eastAsia="方正仿宋_GBK" w:cs="方正仿宋_GBK"/>
          <w:sz w:val="28"/>
        </w:rPr>
        <w:t>41.2026年文物保护和博物馆宣教工作绩效目标表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363203天津市滨海新区文物保护与旅游服务中心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2026年文物保护和博物馆宣教工作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720000.00</w:t>
            </w:r>
          </w:p>
        </w:tc>
        <w:tc>
          <w:tcPr>
            <w:tcW w:w="1587" w:type="dxa"/>
            <w:vAlign w:val="center"/>
          </w:tcPr>
          <w:p>
            <w:pPr>
              <w:pStyle w:val="14"/>
            </w:pPr>
            <w:r>
              <w:t>其中：财政    资金</w:t>
            </w:r>
          </w:p>
        </w:tc>
        <w:tc>
          <w:tcPr>
            <w:tcW w:w="1843" w:type="dxa"/>
            <w:vAlign w:val="center"/>
          </w:tcPr>
          <w:p>
            <w:pPr>
              <w:pStyle w:val="13"/>
            </w:pPr>
            <w:r>
              <w:t>720000.00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通过使用文物保护和博物馆宣教资金，开展“四普”、日常文物保护、博物馆宣教、黄海学社修缮、文物保护工程等工作，提升国家及公众对文物保护的重视程度以及对博物馆的重视程度。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1.通过使用文物保护和博物馆宣教资金，开展“四普”、日常文物保护、博物馆宣教、黄海学社修缮、文物保护工程等工作，提升国家及公众对文物保护的重视程度以及对博物馆的重视程度。</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博物馆临展、社教项目数量</w:t>
            </w:r>
          </w:p>
        </w:tc>
        <w:tc>
          <w:tcPr>
            <w:tcW w:w="3430" w:type="dxa"/>
            <w:vAlign w:val="center"/>
          </w:tcPr>
          <w:p>
            <w:pPr>
              <w:pStyle w:val="13"/>
            </w:pPr>
            <w:r>
              <w:t>博物馆临展、社教项目数量</w:t>
            </w:r>
          </w:p>
        </w:tc>
        <w:tc>
          <w:tcPr>
            <w:tcW w:w="2551" w:type="dxa"/>
            <w:vAlign w:val="center"/>
          </w:tcPr>
          <w:p>
            <w:pPr>
              <w:pStyle w:val="13"/>
            </w:pPr>
            <w:r>
              <w:t>≥50场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“四普”及日常文物保护工作项目数量</w:t>
            </w:r>
          </w:p>
        </w:tc>
        <w:tc>
          <w:tcPr>
            <w:tcW w:w="3430" w:type="dxa"/>
            <w:vAlign w:val="center"/>
          </w:tcPr>
          <w:p>
            <w:pPr>
              <w:pStyle w:val="13"/>
            </w:pPr>
            <w:r>
              <w:t>“四普”及日常文物保护工作项目数量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黄海化学工业研究社旧址修缮及后续展示利用项目数量</w:t>
            </w:r>
          </w:p>
        </w:tc>
        <w:tc>
          <w:tcPr>
            <w:tcW w:w="3430" w:type="dxa"/>
            <w:vAlign w:val="center"/>
          </w:tcPr>
          <w:p>
            <w:pPr>
              <w:pStyle w:val="13"/>
            </w:pPr>
            <w:r>
              <w:t>黄海化学工业研究社旧址修缮及后续展示利用项目数量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大沽关帝庙修缮工程质保金项目数量</w:t>
            </w:r>
          </w:p>
        </w:tc>
        <w:tc>
          <w:tcPr>
            <w:tcW w:w="3430" w:type="dxa"/>
            <w:vAlign w:val="center"/>
          </w:tcPr>
          <w:p>
            <w:pPr>
              <w:pStyle w:val="13"/>
            </w:pPr>
            <w:r>
              <w:t>大沽关帝庙修缮工程质保金项目数量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博物馆临展、社教项目完成达标率</w:t>
            </w:r>
          </w:p>
        </w:tc>
        <w:tc>
          <w:tcPr>
            <w:tcW w:w="3430" w:type="dxa"/>
            <w:vAlign w:val="center"/>
          </w:tcPr>
          <w:p>
            <w:pPr>
              <w:pStyle w:val="13"/>
            </w:pPr>
            <w:r>
              <w:t>博物馆临展、社教项目完成达标率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“四普”及日常文物保护工作完成达标率</w:t>
            </w:r>
          </w:p>
        </w:tc>
        <w:tc>
          <w:tcPr>
            <w:tcW w:w="3430" w:type="dxa"/>
            <w:vAlign w:val="center"/>
          </w:tcPr>
          <w:p>
            <w:pPr>
              <w:pStyle w:val="13"/>
            </w:pPr>
            <w:r>
              <w:t>“四普”及日常文物保护工作完成达标率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黄海化学工业研究社旧址 修缮及后续展示利用项目验收合格率</w:t>
            </w:r>
          </w:p>
        </w:tc>
        <w:tc>
          <w:tcPr>
            <w:tcW w:w="3430" w:type="dxa"/>
            <w:vAlign w:val="center"/>
          </w:tcPr>
          <w:p>
            <w:pPr>
              <w:pStyle w:val="13"/>
            </w:pPr>
            <w:r>
              <w:t>黄海化学工业研究社旧址 修缮及后续展示利用项目验收合格率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大沽关帝庙修缮工程质保金支付合规率</w:t>
            </w:r>
          </w:p>
        </w:tc>
        <w:tc>
          <w:tcPr>
            <w:tcW w:w="3430" w:type="dxa"/>
            <w:vAlign w:val="center"/>
          </w:tcPr>
          <w:p>
            <w:pPr>
              <w:pStyle w:val="13"/>
            </w:pPr>
            <w:r>
              <w:t>大沽关帝庙修缮工程质保金支付合规率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博物馆临展、社教项目完成时间</w:t>
            </w:r>
          </w:p>
        </w:tc>
        <w:tc>
          <w:tcPr>
            <w:tcW w:w="3430" w:type="dxa"/>
            <w:vAlign w:val="center"/>
          </w:tcPr>
          <w:p>
            <w:pPr>
              <w:pStyle w:val="13"/>
            </w:pPr>
            <w:r>
              <w:t>博物馆临展、社教项目完成时间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“四普”及日常文物保护工作完成时间</w:t>
            </w:r>
          </w:p>
        </w:tc>
        <w:tc>
          <w:tcPr>
            <w:tcW w:w="3430" w:type="dxa"/>
            <w:vAlign w:val="center"/>
          </w:tcPr>
          <w:p>
            <w:pPr>
              <w:pStyle w:val="13"/>
            </w:pPr>
            <w:r>
              <w:t>“四普”及日常文物保护工作完成时间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黄海化学工业研究社旧址 修缮及后续展示利用项目完成时间</w:t>
            </w:r>
          </w:p>
        </w:tc>
        <w:tc>
          <w:tcPr>
            <w:tcW w:w="3430" w:type="dxa"/>
            <w:vAlign w:val="center"/>
          </w:tcPr>
          <w:p>
            <w:pPr>
              <w:pStyle w:val="13"/>
            </w:pPr>
            <w:r>
              <w:t>黄海化学工业研究社旧址 修缮及后续展示利用项目完成时间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大沽关帝庙修缮工程质保金项目支付完成时间</w:t>
            </w:r>
          </w:p>
        </w:tc>
        <w:tc>
          <w:tcPr>
            <w:tcW w:w="3430" w:type="dxa"/>
            <w:vAlign w:val="center"/>
          </w:tcPr>
          <w:p>
            <w:pPr>
              <w:pStyle w:val="13"/>
            </w:pPr>
            <w:r>
              <w:t>大沽关帝庙修缮工程质保金项目支付完成时间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博物馆临展、社教项目经费</w:t>
            </w:r>
          </w:p>
        </w:tc>
        <w:tc>
          <w:tcPr>
            <w:tcW w:w="3430" w:type="dxa"/>
            <w:vAlign w:val="center"/>
          </w:tcPr>
          <w:p>
            <w:pPr>
              <w:pStyle w:val="13"/>
            </w:pPr>
            <w:r>
              <w:t>博物馆临展、社教项目经费</w:t>
            </w:r>
          </w:p>
        </w:tc>
        <w:tc>
          <w:tcPr>
            <w:tcW w:w="2551" w:type="dxa"/>
            <w:vAlign w:val="center"/>
          </w:tcPr>
          <w:p>
            <w:pPr>
              <w:pStyle w:val="13"/>
            </w:pPr>
            <w:r>
              <w:t>≤30000元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“四普”相关经费</w:t>
            </w:r>
          </w:p>
        </w:tc>
        <w:tc>
          <w:tcPr>
            <w:tcW w:w="3430" w:type="dxa"/>
            <w:vAlign w:val="center"/>
          </w:tcPr>
          <w:p>
            <w:pPr>
              <w:pStyle w:val="13"/>
            </w:pPr>
            <w:r>
              <w:t>“四普”登记表打印、装订费用以及四普成果宣传展示及四普新公布及补充公布的文物保护标志牌及安全责任牌制作、四普专家费用等</w:t>
            </w:r>
          </w:p>
        </w:tc>
        <w:tc>
          <w:tcPr>
            <w:tcW w:w="2551" w:type="dxa"/>
            <w:vAlign w:val="center"/>
          </w:tcPr>
          <w:p>
            <w:pPr>
              <w:pStyle w:val="13"/>
            </w:pPr>
            <w:r>
              <w:t>≤70000元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日常文物保护工作经费</w:t>
            </w:r>
          </w:p>
        </w:tc>
        <w:tc>
          <w:tcPr>
            <w:tcW w:w="3430" w:type="dxa"/>
            <w:vAlign w:val="center"/>
          </w:tcPr>
          <w:p>
            <w:pPr>
              <w:pStyle w:val="13"/>
            </w:pPr>
            <w:r>
              <w:t>文物日常保护经费，涉及文物巡查租车、文物抢险加固及保护措施、文物保护标志牌及安全责任牌更换、专家费用、文化和自然遗产日宣传活动策划等费用</w:t>
            </w:r>
          </w:p>
        </w:tc>
        <w:tc>
          <w:tcPr>
            <w:tcW w:w="2551" w:type="dxa"/>
            <w:vAlign w:val="center"/>
          </w:tcPr>
          <w:p>
            <w:pPr>
              <w:pStyle w:val="13"/>
            </w:pPr>
            <w:r>
              <w:t>≤50000元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黄海化学工业研究社旧址修缮及后续展示利用项目经费</w:t>
            </w:r>
          </w:p>
        </w:tc>
        <w:tc>
          <w:tcPr>
            <w:tcW w:w="3430" w:type="dxa"/>
            <w:vAlign w:val="center"/>
          </w:tcPr>
          <w:p>
            <w:pPr>
              <w:pStyle w:val="13"/>
            </w:pPr>
            <w:r>
              <w:t>黄海化学工业研究社旧址修缮及后续展示利用项目经费</w:t>
            </w:r>
          </w:p>
        </w:tc>
        <w:tc>
          <w:tcPr>
            <w:tcW w:w="2551" w:type="dxa"/>
            <w:vAlign w:val="center"/>
          </w:tcPr>
          <w:p>
            <w:pPr>
              <w:pStyle w:val="13"/>
            </w:pPr>
            <w:r>
              <w:t>≤450000元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大沽关帝庙修缮工程质保金</w:t>
            </w:r>
          </w:p>
        </w:tc>
        <w:tc>
          <w:tcPr>
            <w:tcW w:w="3430" w:type="dxa"/>
            <w:vAlign w:val="center"/>
          </w:tcPr>
          <w:p>
            <w:pPr>
              <w:pStyle w:val="13"/>
            </w:pPr>
            <w:r>
              <w:t>大沽关帝庙修缮工程质保金</w:t>
            </w:r>
          </w:p>
        </w:tc>
        <w:tc>
          <w:tcPr>
            <w:tcW w:w="2551" w:type="dxa"/>
            <w:vAlign w:val="center"/>
          </w:tcPr>
          <w:p>
            <w:pPr>
              <w:pStyle w:val="13"/>
            </w:pPr>
            <w:r>
              <w:t>≤117996.81元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提升国家及公众对博物馆的重视程度</w:t>
            </w:r>
          </w:p>
        </w:tc>
        <w:tc>
          <w:tcPr>
            <w:tcW w:w="3430" w:type="dxa"/>
            <w:vAlign w:val="center"/>
          </w:tcPr>
          <w:p>
            <w:pPr>
              <w:pStyle w:val="13"/>
            </w:pPr>
            <w:r>
              <w:t>国家及公众对博物馆的重视程度</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提升国家及公众对文物保护的重视程度</w:t>
            </w:r>
          </w:p>
        </w:tc>
        <w:tc>
          <w:tcPr>
            <w:tcW w:w="3430" w:type="dxa"/>
            <w:vAlign w:val="center"/>
          </w:tcPr>
          <w:p>
            <w:pPr>
              <w:pStyle w:val="13"/>
            </w:pPr>
            <w:r>
              <w:t>国家及公众对文物保护的重视程度</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3430" w:type="dxa"/>
            <w:vAlign w:val="center"/>
          </w:tcPr>
          <w:p>
            <w:pPr>
              <w:pStyle w:val="13"/>
            </w:pPr>
            <w:r>
              <w:t>受益群众满意度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8" w:name="_Toc1248875473"/>
      <w:r>
        <w:rPr>
          <w:rFonts w:ascii="方正仿宋_GBK" w:hAnsi="方正仿宋_GBK" w:eastAsia="方正仿宋_GBK" w:cs="方正仿宋_GBK"/>
          <w:sz w:val="28"/>
        </w:rPr>
        <w:t>42.2026年文物保护和旅游推广相关项目*绩效目标表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363203天津市滨海新区文物保护与旅游服务中心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2026年文物保护和旅游推广相关项目*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1000000.00</w:t>
            </w:r>
          </w:p>
        </w:tc>
        <w:tc>
          <w:tcPr>
            <w:tcW w:w="1587" w:type="dxa"/>
            <w:vAlign w:val="center"/>
          </w:tcPr>
          <w:p>
            <w:pPr>
              <w:pStyle w:val="14"/>
            </w:pPr>
            <w:r>
              <w:t>其中：财政    资金</w:t>
            </w:r>
          </w:p>
        </w:tc>
        <w:tc>
          <w:tcPr>
            <w:tcW w:w="1843" w:type="dxa"/>
            <w:vAlign w:val="center"/>
          </w:tcPr>
          <w:p>
            <w:pPr>
              <w:pStyle w:val="13"/>
            </w:pPr>
            <w:r>
              <w:t>1000000.00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通过开展各项推广活动，努力盘活收入，增加项目经费，用于支付往年欠款、工程费用、博物馆日常维护费以及其他费用，提升博物馆文物保护水平，吸引更多游客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1.通过开展各项推广活动，努力盘活收入，增加项目经费，用于支付往年欠款、工程费用、博物馆日常维护费以及其他费用，提升博物馆文物保护水平，吸引更多游客</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文物保护和旅游推广相关项目数量</w:t>
            </w:r>
          </w:p>
        </w:tc>
        <w:tc>
          <w:tcPr>
            <w:tcW w:w="3430" w:type="dxa"/>
            <w:vAlign w:val="center"/>
          </w:tcPr>
          <w:p>
            <w:pPr>
              <w:pStyle w:val="13"/>
            </w:pPr>
            <w:r>
              <w:t>文物保护和旅游推广相关项目数量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资金支付合规率</w:t>
            </w:r>
          </w:p>
        </w:tc>
        <w:tc>
          <w:tcPr>
            <w:tcW w:w="3430" w:type="dxa"/>
            <w:vAlign w:val="center"/>
          </w:tcPr>
          <w:p>
            <w:pPr>
              <w:pStyle w:val="13"/>
            </w:pPr>
            <w:r>
              <w:t>资金支付合规率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文物保护和旅游推广相关项目完成时间</w:t>
            </w:r>
          </w:p>
        </w:tc>
        <w:tc>
          <w:tcPr>
            <w:tcW w:w="3430" w:type="dxa"/>
            <w:vAlign w:val="center"/>
          </w:tcPr>
          <w:p>
            <w:pPr>
              <w:pStyle w:val="13"/>
            </w:pPr>
            <w:r>
              <w:t>文物保护和旅游推广相关项目完成时间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文物保护和旅游推广相关项目资金</w:t>
            </w:r>
          </w:p>
        </w:tc>
        <w:tc>
          <w:tcPr>
            <w:tcW w:w="3430" w:type="dxa"/>
            <w:vAlign w:val="center"/>
          </w:tcPr>
          <w:p>
            <w:pPr>
              <w:pStyle w:val="13"/>
            </w:pPr>
            <w:r>
              <w:t>文物保护和旅游推广相关项目资金</w:t>
            </w:r>
          </w:p>
        </w:tc>
        <w:tc>
          <w:tcPr>
            <w:tcW w:w="2551" w:type="dxa"/>
            <w:vAlign w:val="center"/>
          </w:tcPr>
          <w:p>
            <w:pPr>
              <w:pStyle w:val="13"/>
            </w:pPr>
            <w:r>
              <w:t>≤1000000元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提升博物馆文物保护水平，吸引更多游客</w:t>
            </w:r>
          </w:p>
        </w:tc>
        <w:tc>
          <w:tcPr>
            <w:tcW w:w="3430" w:type="dxa"/>
            <w:vAlign w:val="center"/>
          </w:tcPr>
          <w:p>
            <w:pPr>
              <w:pStyle w:val="13"/>
            </w:pPr>
            <w:r>
              <w:t>提升博物馆文物保护水平，吸引更多游客</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3430" w:type="dxa"/>
            <w:vAlign w:val="center"/>
          </w:tcPr>
          <w:p>
            <w:pPr>
              <w:pStyle w:val="13"/>
            </w:pPr>
            <w:r>
              <w:t>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9" w:name="_Toc206586007"/>
      <w:r>
        <w:rPr>
          <w:rFonts w:ascii="方正仿宋_GBK" w:hAnsi="方正仿宋_GBK" w:eastAsia="方正仿宋_GBK" w:cs="方正仿宋_GBK"/>
          <w:sz w:val="28"/>
        </w:rPr>
        <w:t>43.大沽口炮台抢险加固工程项目费用（财教[2015]201号）（结余结转）（自有资金）绩效目标表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363203天津市滨海新区文物保护与旅游服务中心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大沽口炮台抢险加固工程项目费用（财教[2015]201号）（结余结转）（自有资金）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788953.19</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788953.19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通过开展大沽口炮台抢险加固工程，提升大沽口炮台安全稳定性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1.通过开展大沽口炮台抢险加固工程，提升大沽口炮台安全稳定性</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大沽口炮台抢险加固工程数量</w:t>
            </w:r>
          </w:p>
        </w:tc>
        <w:tc>
          <w:tcPr>
            <w:tcW w:w="3430" w:type="dxa"/>
            <w:vAlign w:val="center"/>
          </w:tcPr>
          <w:p>
            <w:pPr>
              <w:pStyle w:val="13"/>
            </w:pPr>
            <w:r>
              <w:t>大沽口炮台抢险加固工程数量</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大沽口炮台抢险加固工程验收合格率</w:t>
            </w:r>
          </w:p>
        </w:tc>
        <w:tc>
          <w:tcPr>
            <w:tcW w:w="3430" w:type="dxa"/>
            <w:vAlign w:val="center"/>
          </w:tcPr>
          <w:p>
            <w:pPr>
              <w:pStyle w:val="13"/>
            </w:pPr>
            <w:r>
              <w:t>大沽口炮台抢险加固工程验收合格率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大沽口炮台抢险加固工程完成时间</w:t>
            </w:r>
          </w:p>
        </w:tc>
        <w:tc>
          <w:tcPr>
            <w:tcW w:w="3430" w:type="dxa"/>
            <w:vAlign w:val="center"/>
          </w:tcPr>
          <w:p>
            <w:pPr>
              <w:pStyle w:val="13"/>
            </w:pPr>
            <w:r>
              <w:t>大沽口炮台抢险加固工程完成时间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大沽口炮台抢险加固工程成本</w:t>
            </w:r>
          </w:p>
        </w:tc>
        <w:tc>
          <w:tcPr>
            <w:tcW w:w="3430" w:type="dxa"/>
            <w:vAlign w:val="center"/>
          </w:tcPr>
          <w:p>
            <w:pPr>
              <w:pStyle w:val="13"/>
            </w:pPr>
            <w:r>
              <w:t>大沽口炮台抢险加固工程成本</w:t>
            </w:r>
          </w:p>
        </w:tc>
        <w:tc>
          <w:tcPr>
            <w:tcW w:w="2551" w:type="dxa"/>
            <w:vAlign w:val="center"/>
          </w:tcPr>
          <w:p>
            <w:pPr>
              <w:pStyle w:val="13"/>
            </w:pPr>
            <w:r>
              <w:t>≤788953.19元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提升大沽口炮台安全稳定性</w:t>
            </w:r>
          </w:p>
        </w:tc>
        <w:tc>
          <w:tcPr>
            <w:tcW w:w="3430" w:type="dxa"/>
            <w:vAlign w:val="center"/>
          </w:tcPr>
          <w:p>
            <w:pPr>
              <w:pStyle w:val="13"/>
            </w:pPr>
            <w:r>
              <w:t>提升大沽口炮台安全稳定性</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3430" w:type="dxa"/>
            <w:vAlign w:val="center"/>
          </w:tcPr>
          <w:p>
            <w:pPr>
              <w:pStyle w:val="13"/>
            </w:pPr>
            <w:r>
              <w:t>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0" w:name="_Toc148693971"/>
      <w:r>
        <w:rPr>
          <w:rFonts w:ascii="方正仿宋_GBK" w:hAnsi="方正仿宋_GBK" w:eastAsia="方正仿宋_GBK" w:cs="方正仿宋_GBK"/>
          <w:sz w:val="28"/>
        </w:rPr>
        <w:t>44.天津市财政局关于提前下达2025年国家文物保护资金预算的通知  津财教指【2024】126号绩效目标表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363203天津市滨海新区文物保护与旅游服务中心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天津市财政局关于提前下达2025年国家文物保护资金预算的通知  津财教指【2024】126号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3642063.20</w:t>
            </w:r>
          </w:p>
        </w:tc>
        <w:tc>
          <w:tcPr>
            <w:tcW w:w="1587" w:type="dxa"/>
            <w:vAlign w:val="center"/>
          </w:tcPr>
          <w:p>
            <w:pPr>
              <w:pStyle w:val="14"/>
            </w:pPr>
            <w:r>
              <w:t>其中：财政    资金</w:t>
            </w:r>
          </w:p>
        </w:tc>
        <w:tc>
          <w:tcPr>
            <w:tcW w:w="1843" w:type="dxa"/>
            <w:vAlign w:val="center"/>
          </w:tcPr>
          <w:p>
            <w:pPr>
              <w:pStyle w:val="13"/>
            </w:pPr>
            <w:r>
              <w:t>3642063.20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大沽口炮台为全国重点文物保护单位。本次环境整治及展示工程实施范围为大沽口炮台南岸营盘“威”“镇”“海”三座炮台，主要内容包括平整场地、优化排水、拆除与环境风貌不协调的围栏等，通过有效改善文物保存环境，为后续科学保护、游客参观以及展示利用打下基础。北洋水师大沽船坞遗址为全国重点文物保护单位，遗址存有唯一文物建筑轮机厂房为砖木结构，通过设置室外消火栓系统，包括设置室外消火栓管网采用环状管网，与天津市船厂厂区供水相衔接，在环状管网上布置5个室外消火栓，解决文物建筑周边无消防用水问题，保障文物建筑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大沽口炮台为全国重点文物保护单位。本次环境整治及展示工程实施范围为大沽口炮台南岸营盘“威”“镇”“海”三座炮台，主要内容包括平整场地、优化排水、拆除与环境风貌不协调的围栏等，通过有效改善文物保存环境，为后续科学保护、游客参观以及展示利用打下基础。</w:t>
            </w:r>
          </w:p>
          <w:p>
            <w:pPr>
              <w:pStyle w:val="13"/>
            </w:pPr>
            <w:r>
              <w:t>2.北洋水师大沽船坞遗址为全国重点文物保护单位，遗址存有唯一文物建筑轮机厂房为砖木结构，通过设置室外消火栓系统，包括设置室外消火栓管网采用环状管网，与天津市船厂厂区供水相衔接，在环状管网上布置5个室外消火栓，解决文物建筑周边无消防用水问题，保障文物建筑安全。</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环境整治范围总面积</w:t>
            </w:r>
          </w:p>
        </w:tc>
        <w:tc>
          <w:tcPr>
            <w:tcW w:w="3430" w:type="dxa"/>
            <w:vAlign w:val="center"/>
          </w:tcPr>
          <w:p>
            <w:pPr>
              <w:pStyle w:val="13"/>
            </w:pPr>
            <w:r>
              <w:t>环境整治范围总面积</w:t>
            </w:r>
          </w:p>
        </w:tc>
        <w:tc>
          <w:tcPr>
            <w:tcW w:w="2551" w:type="dxa"/>
            <w:vAlign w:val="center"/>
          </w:tcPr>
          <w:p>
            <w:pPr>
              <w:pStyle w:val="13"/>
            </w:pPr>
            <w:r>
              <w:t>≥19.54公顷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保护文物建筑及附属房面积</w:t>
            </w:r>
          </w:p>
        </w:tc>
        <w:tc>
          <w:tcPr>
            <w:tcW w:w="3430" w:type="dxa"/>
            <w:vAlign w:val="center"/>
          </w:tcPr>
          <w:p>
            <w:pPr>
              <w:pStyle w:val="13"/>
            </w:pPr>
            <w:r>
              <w:t>保护文物建筑及附属房面积</w:t>
            </w:r>
          </w:p>
        </w:tc>
        <w:tc>
          <w:tcPr>
            <w:tcW w:w="2551" w:type="dxa"/>
            <w:vAlign w:val="center"/>
          </w:tcPr>
          <w:p>
            <w:pPr>
              <w:pStyle w:val="13"/>
            </w:pPr>
            <w:r>
              <w:t>1410㎡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项目验收合格率</w:t>
            </w:r>
          </w:p>
        </w:tc>
        <w:tc>
          <w:tcPr>
            <w:tcW w:w="3430" w:type="dxa"/>
            <w:vAlign w:val="center"/>
          </w:tcPr>
          <w:p>
            <w:pPr>
              <w:pStyle w:val="13"/>
            </w:pPr>
            <w:r>
              <w:t>项目验收合格率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安全事故发生率</w:t>
            </w:r>
          </w:p>
        </w:tc>
        <w:tc>
          <w:tcPr>
            <w:tcW w:w="3430" w:type="dxa"/>
            <w:vAlign w:val="center"/>
          </w:tcPr>
          <w:p>
            <w:pPr>
              <w:pStyle w:val="13"/>
            </w:pPr>
            <w:r>
              <w:t>安全事故发生率</w:t>
            </w:r>
          </w:p>
        </w:tc>
        <w:tc>
          <w:tcPr>
            <w:tcW w:w="2551" w:type="dxa"/>
            <w:vAlign w:val="center"/>
          </w:tcPr>
          <w:p>
            <w:pPr>
              <w:pStyle w:val="13"/>
            </w:pPr>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当年确认列入支持范围的国保单位“四有”工作实现率</w:t>
            </w:r>
          </w:p>
        </w:tc>
        <w:tc>
          <w:tcPr>
            <w:tcW w:w="3430" w:type="dxa"/>
            <w:vAlign w:val="center"/>
          </w:tcPr>
          <w:p>
            <w:pPr>
              <w:pStyle w:val="13"/>
            </w:pPr>
            <w:r>
              <w:t>当年确认列入支持范围的国保单位“四有”工作实现率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项目档案资料完整率</w:t>
            </w:r>
          </w:p>
        </w:tc>
        <w:tc>
          <w:tcPr>
            <w:tcW w:w="3430" w:type="dxa"/>
            <w:vAlign w:val="center"/>
          </w:tcPr>
          <w:p>
            <w:pPr>
              <w:pStyle w:val="13"/>
            </w:pPr>
            <w:r>
              <w:t>项目档案资料完整率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竣工时间</w:t>
            </w:r>
          </w:p>
        </w:tc>
        <w:tc>
          <w:tcPr>
            <w:tcW w:w="3430" w:type="dxa"/>
            <w:vAlign w:val="center"/>
          </w:tcPr>
          <w:p>
            <w:pPr>
              <w:pStyle w:val="13"/>
            </w:pPr>
            <w:r>
              <w:t>竣工时间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环境整治工程费用</w:t>
            </w:r>
          </w:p>
        </w:tc>
        <w:tc>
          <w:tcPr>
            <w:tcW w:w="3430" w:type="dxa"/>
            <w:vAlign w:val="center"/>
          </w:tcPr>
          <w:p>
            <w:pPr>
              <w:pStyle w:val="13"/>
            </w:pPr>
            <w:r>
              <w:t>环境整治工程费用</w:t>
            </w:r>
          </w:p>
        </w:tc>
        <w:tc>
          <w:tcPr>
            <w:tcW w:w="2551" w:type="dxa"/>
            <w:vAlign w:val="center"/>
          </w:tcPr>
          <w:p>
            <w:pPr>
              <w:pStyle w:val="13"/>
            </w:pPr>
            <w:r>
              <w:t>≤3535900元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大沽船坞消防工程费用</w:t>
            </w:r>
          </w:p>
        </w:tc>
        <w:tc>
          <w:tcPr>
            <w:tcW w:w="3430" w:type="dxa"/>
            <w:vAlign w:val="center"/>
          </w:tcPr>
          <w:p>
            <w:pPr>
              <w:pStyle w:val="13"/>
            </w:pPr>
            <w:r>
              <w:t>大沽船坞消防工程费用</w:t>
            </w:r>
          </w:p>
        </w:tc>
        <w:tc>
          <w:tcPr>
            <w:tcW w:w="2551" w:type="dxa"/>
            <w:vAlign w:val="center"/>
          </w:tcPr>
          <w:p>
            <w:pPr>
              <w:pStyle w:val="13"/>
            </w:pPr>
            <w:r>
              <w:t>≤106163.2元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提升国家文物保护水平与全民文物保护意识</w:t>
            </w:r>
          </w:p>
        </w:tc>
        <w:tc>
          <w:tcPr>
            <w:tcW w:w="3430" w:type="dxa"/>
            <w:vAlign w:val="center"/>
          </w:tcPr>
          <w:p>
            <w:pPr>
              <w:pStyle w:val="13"/>
            </w:pPr>
            <w:r>
              <w:t>提升国家文物保护水平与全民文物保护意识</w:t>
            </w:r>
          </w:p>
        </w:tc>
        <w:tc>
          <w:tcPr>
            <w:tcW w:w="2551" w:type="dxa"/>
            <w:vAlign w:val="center"/>
          </w:tcPr>
          <w:p>
            <w:pPr>
              <w:pStyle w:val="13"/>
            </w:pPr>
            <w:r>
              <w:t>比上一年提升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保障文物建筑的消防安全水平</w:t>
            </w:r>
          </w:p>
        </w:tc>
        <w:tc>
          <w:tcPr>
            <w:tcW w:w="3430" w:type="dxa"/>
            <w:vAlign w:val="center"/>
          </w:tcPr>
          <w:p>
            <w:pPr>
              <w:pStyle w:val="13"/>
            </w:pPr>
            <w:r>
              <w:t>保障文物建筑的消防安全水平</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对中华优秀传统文化传承影响</w:t>
            </w:r>
          </w:p>
        </w:tc>
        <w:tc>
          <w:tcPr>
            <w:tcW w:w="3430" w:type="dxa"/>
            <w:vAlign w:val="center"/>
          </w:tcPr>
          <w:p>
            <w:pPr>
              <w:pStyle w:val="13"/>
            </w:pPr>
            <w:r>
              <w:t>对中华优秀传统文化传承影响</w:t>
            </w:r>
          </w:p>
        </w:tc>
        <w:tc>
          <w:tcPr>
            <w:tcW w:w="2551" w:type="dxa"/>
            <w:vAlign w:val="center"/>
          </w:tcPr>
          <w:p>
            <w:pPr>
              <w:pStyle w:val="13"/>
            </w:pPr>
            <w:r>
              <w:t>长期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健全安全技术防范管理制度</w:t>
            </w:r>
          </w:p>
        </w:tc>
        <w:tc>
          <w:tcPr>
            <w:tcW w:w="3430" w:type="dxa"/>
            <w:vAlign w:val="center"/>
          </w:tcPr>
          <w:p>
            <w:pPr>
              <w:pStyle w:val="13"/>
            </w:pPr>
            <w:r>
              <w:t>健全安全技术防范管理制度</w:t>
            </w:r>
          </w:p>
        </w:tc>
        <w:tc>
          <w:tcPr>
            <w:tcW w:w="2551" w:type="dxa"/>
            <w:vAlign w:val="center"/>
          </w:tcPr>
          <w:p>
            <w:pPr>
              <w:pStyle w:val="13"/>
            </w:pPr>
            <w:r>
              <w:t>进一步健全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参观人员满意度</w:t>
            </w:r>
          </w:p>
        </w:tc>
        <w:tc>
          <w:tcPr>
            <w:tcW w:w="3430" w:type="dxa"/>
            <w:vAlign w:val="center"/>
          </w:tcPr>
          <w:p>
            <w:pPr>
              <w:pStyle w:val="13"/>
            </w:pPr>
            <w:r>
              <w:t>参观人员满意度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保护单位对文物保护满意度</w:t>
            </w:r>
          </w:p>
        </w:tc>
        <w:tc>
          <w:tcPr>
            <w:tcW w:w="3430" w:type="dxa"/>
            <w:vAlign w:val="center"/>
          </w:tcPr>
          <w:p>
            <w:pPr>
              <w:pStyle w:val="13"/>
            </w:pPr>
            <w:r>
              <w:t>保护单位对文物保护满意度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社会公众对文物保护满意度</w:t>
            </w:r>
          </w:p>
        </w:tc>
        <w:tc>
          <w:tcPr>
            <w:tcW w:w="3430" w:type="dxa"/>
            <w:vAlign w:val="center"/>
          </w:tcPr>
          <w:p>
            <w:pPr>
              <w:pStyle w:val="13"/>
            </w:pPr>
            <w:r>
              <w:t>社会公众对文物保护满意度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1" w:name="_Toc1527930890"/>
      <w:r>
        <w:rPr>
          <w:rFonts w:ascii="方正仿宋_GBK" w:hAnsi="方正仿宋_GBK" w:eastAsia="方正仿宋_GBK" w:cs="方正仿宋_GBK"/>
          <w:sz w:val="28"/>
        </w:rPr>
        <w:t>45.文保中心-天津市财政局关于提前下达2026年国家文物保护资金预算的通知（津财教指【2025】96号）绩效目标表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363203天津市滨海新区文物保护与旅游服务中心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文保中心-天津市财政局关于提前下达2026年国家文物保护资金预算的通知（津财教指【2025】96号）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3830000.00</w:t>
            </w:r>
          </w:p>
        </w:tc>
        <w:tc>
          <w:tcPr>
            <w:tcW w:w="1587" w:type="dxa"/>
            <w:vAlign w:val="center"/>
          </w:tcPr>
          <w:p>
            <w:pPr>
              <w:pStyle w:val="14"/>
            </w:pPr>
            <w:r>
              <w:t>其中：财政    资金</w:t>
            </w:r>
          </w:p>
        </w:tc>
        <w:tc>
          <w:tcPr>
            <w:tcW w:w="1843" w:type="dxa"/>
            <w:vAlign w:val="center"/>
          </w:tcPr>
          <w:p>
            <w:pPr>
              <w:pStyle w:val="13"/>
            </w:pPr>
            <w:r>
              <w:t>3830000.00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大沽口炮台为全国重点文物保护单位。本次环境整治及展示工程实施范围为大沽口炮台南岸营盘“威”“镇”“海”三座炮台，主要内容包括平整场地、优化排水，拆除与环境风貌不协调的围栏等，通过有效改善文物保存环境，为后续科学保护、游客参观以及展示利用打下基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大沽口炮台为全国重点文物保护单位。本次环境整治及展示工程实施范围为大沽口炮台南岸营盘“威”“镇”“海”三座炮台，主要内容包括平整场地、优化排水，拆除与环境风貌不协调的围栏等，通过有效改善文物保存环境，为后续科学保护、游客参观以及展示利用打下基础。</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环境整治总面积</w:t>
            </w:r>
          </w:p>
        </w:tc>
        <w:tc>
          <w:tcPr>
            <w:tcW w:w="3430" w:type="dxa"/>
            <w:vAlign w:val="center"/>
          </w:tcPr>
          <w:p>
            <w:pPr>
              <w:pStyle w:val="13"/>
            </w:pPr>
            <w:r>
              <w:t>环境整治总面积</w:t>
            </w:r>
          </w:p>
        </w:tc>
        <w:tc>
          <w:tcPr>
            <w:tcW w:w="2551" w:type="dxa"/>
            <w:vAlign w:val="center"/>
          </w:tcPr>
          <w:p>
            <w:pPr>
              <w:pStyle w:val="13"/>
            </w:pPr>
            <w:r>
              <w:t>≥19.54公顷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竣工验收合格率</w:t>
            </w:r>
          </w:p>
        </w:tc>
        <w:tc>
          <w:tcPr>
            <w:tcW w:w="3430" w:type="dxa"/>
            <w:vAlign w:val="center"/>
          </w:tcPr>
          <w:p>
            <w:pPr>
              <w:pStyle w:val="13"/>
            </w:pPr>
            <w:r>
              <w:t>竣工验收合格率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安全事故发生率</w:t>
            </w:r>
          </w:p>
        </w:tc>
        <w:tc>
          <w:tcPr>
            <w:tcW w:w="3430" w:type="dxa"/>
            <w:vAlign w:val="center"/>
          </w:tcPr>
          <w:p>
            <w:pPr>
              <w:pStyle w:val="13"/>
            </w:pPr>
            <w:r>
              <w:t>安全事故发生率</w:t>
            </w:r>
          </w:p>
        </w:tc>
        <w:tc>
          <w:tcPr>
            <w:tcW w:w="2551" w:type="dxa"/>
            <w:vAlign w:val="center"/>
          </w:tcPr>
          <w:p>
            <w:pPr>
              <w:pStyle w:val="13"/>
            </w:pPr>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项目档案资料完成率</w:t>
            </w:r>
          </w:p>
        </w:tc>
        <w:tc>
          <w:tcPr>
            <w:tcW w:w="3430" w:type="dxa"/>
            <w:vAlign w:val="center"/>
          </w:tcPr>
          <w:p>
            <w:pPr>
              <w:pStyle w:val="13"/>
            </w:pPr>
            <w:r>
              <w:t>项目档案资料完成率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当年确认列入支持范围的国保单位“四有”工作实现率</w:t>
            </w:r>
          </w:p>
        </w:tc>
        <w:tc>
          <w:tcPr>
            <w:tcW w:w="3430" w:type="dxa"/>
            <w:vAlign w:val="center"/>
          </w:tcPr>
          <w:p>
            <w:pPr>
              <w:pStyle w:val="13"/>
            </w:pPr>
            <w:r>
              <w:t>当年确认列入支持范围的国保单位“四有”工作实现率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工程竣工时间</w:t>
            </w:r>
          </w:p>
        </w:tc>
        <w:tc>
          <w:tcPr>
            <w:tcW w:w="3430" w:type="dxa"/>
            <w:vAlign w:val="center"/>
          </w:tcPr>
          <w:p>
            <w:pPr>
              <w:pStyle w:val="13"/>
            </w:pPr>
            <w:r>
              <w:t>工程竣工时间</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工程费用</w:t>
            </w:r>
          </w:p>
        </w:tc>
        <w:tc>
          <w:tcPr>
            <w:tcW w:w="3430" w:type="dxa"/>
            <w:vAlign w:val="center"/>
          </w:tcPr>
          <w:p>
            <w:pPr>
              <w:pStyle w:val="13"/>
            </w:pPr>
            <w:r>
              <w:t>工程费用</w:t>
            </w:r>
          </w:p>
        </w:tc>
        <w:tc>
          <w:tcPr>
            <w:tcW w:w="2551" w:type="dxa"/>
            <w:vAlign w:val="center"/>
          </w:tcPr>
          <w:p>
            <w:pPr>
              <w:pStyle w:val="13"/>
            </w:pPr>
            <w:r>
              <w:t>≤3830000元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提升革命文物保护水平与全民文物保护意识</w:t>
            </w:r>
          </w:p>
        </w:tc>
        <w:tc>
          <w:tcPr>
            <w:tcW w:w="3430" w:type="dxa"/>
            <w:vAlign w:val="center"/>
          </w:tcPr>
          <w:p>
            <w:pPr>
              <w:pStyle w:val="13"/>
            </w:pPr>
            <w:r>
              <w:t>提升革命文物保护水平与全民文物保护意识</w:t>
            </w:r>
          </w:p>
        </w:tc>
        <w:tc>
          <w:tcPr>
            <w:tcW w:w="2551" w:type="dxa"/>
            <w:vAlign w:val="center"/>
          </w:tcPr>
          <w:p>
            <w:pPr>
              <w:pStyle w:val="13"/>
            </w:pPr>
            <w:r>
              <w:t>比上一年度提升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对中华优秀传统文化传承影响</w:t>
            </w:r>
          </w:p>
        </w:tc>
        <w:tc>
          <w:tcPr>
            <w:tcW w:w="3430" w:type="dxa"/>
            <w:vAlign w:val="center"/>
          </w:tcPr>
          <w:p>
            <w:pPr>
              <w:pStyle w:val="13"/>
            </w:pPr>
            <w:r>
              <w:t>对中华优秀传统文化传承影响</w:t>
            </w:r>
          </w:p>
        </w:tc>
        <w:tc>
          <w:tcPr>
            <w:tcW w:w="2551" w:type="dxa"/>
            <w:vAlign w:val="center"/>
          </w:tcPr>
          <w:p>
            <w:pPr>
              <w:pStyle w:val="13"/>
            </w:pPr>
            <w:r>
              <w:t>长期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参观人员满意度</w:t>
            </w:r>
          </w:p>
        </w:tc>
        <w:tc>
          <w:tcPr>
            <w:tcW w:w="3430" w:type="dxa"/>
            <w:vAlign w:val="center"/>
          </w:tcPr>
          <w:p>
            <w:pPr>
              <w:pStyle w:val="13"/>
            </w:pPr>
            <w:r>
              <w:t>参观人员满意度</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保护单位对文物保护满意度</w:t>
            </w:r>
          </w:p>
        </w:tc>
        <w:tc>
          <w:tcPr>
            <w:tcW w:w="3430" w:type="dxa"/>
            <w:vAlign w:val="center"/>
          </w:tcPr>
          <w:p>
            <w:pPr>
              <w:pStyle w:val="13"/>
            </w:pPr>
            <w:r>
              <w:t>保护单位对文物保护满意度</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社会公众对文物保护满意度</w:t>
            </w:r>
          </w:p>
        </w:tc>
        <w:tc>
          <w:tcPr>
            <w:tcW w:w="3430" w:type="dxa"/>
            <w:vAlign w:val="center"/>
          </w:tcPr>
          <w:p>
            <w:pPr>
              <w:pStyle w:val="13"/>
            </w:pPr>
            <w:r>
              <w:t>社会公众对文物保护满意度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2" w:name="_Toc1661780309"/>
      <w:r>
        <w:rPr>
          <w:rFonts w:ascii="方正仿宋_GBK" w:hAnsi="方正仿宋_GBK" w:eastAsia="方正仿宋_GBK" w:cs="方正仿宋_GBK"/>
          <w:sz w:val="28"/>
        </w:rPr>
        <w:t>46.文保中心-天津市财政局关于提前下达2026年中央支持地方公共文化服务体系建设补助资金预算的通知（津财教指[2025]95号）绩效目标表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363203天津市滨海新区文物保护与旅游服务中心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文保中心-天津市财政局关于提前下达2026年中央支持地方公共文化服务体系建设补助资金预算的通知（津财教指[2025]95号）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1400000.00</w:t>
            </w:r>
          </w:p>
        </w:tc>
        <w:tc>
          <w:tcPr>
            <w:tcW w:w="1587" w:type="dxa"/>
            <w:vAlign w:val="center"/>
          </w:tcPr>
          <w:p>
            <w:pPr>
              <w:pStyle w:val="14"/>
            </w:pPr>
            <w:r>
              <w:t>其中：财政    资金</w:t>
            </w:r>
          </w:p>
        </w:tc>
        <w:tc>
          <w:tcPr>
            <w:tcW w:w="1843" w:type="dxa"/>
            <w:vAlign w:val="center"/>
          </w:tcPr>
          <w:p>
            <w:pPr>
              <w:pStyle w:val="13"/>
            </w:pPr>
            <w:r>
              <w:t>1400000.00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通过充分利用中央支持地方公共文化服务体系建设补助资金，保障博物馆的正常运转，提升公众对博物馆的满意度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1.通过充分利用中央支持地方公共文化服务体系建设补助资金，保障了博物馆的正常运转，提升公众对博物馆的满意度</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免费开放场馆数量</w:t>
            </w:r>
          </w:p>
        </w:tc>
        <w:tc>
          <w:tcPr>
            <w:tcW w:w="3430" w:type="dxa"/>
            <w:vAlign w:val="center"/>
          </w:tcPr>
          <w:p>
            <w:pPr>
              <w:pStyle w:val="13"/>
            </w:pPr>
            <w:r>
              <w:t>免费开放场馆数量</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免费开放场馆覆盖率</w:t>
            </w:r>
          </w:p>
        </w:tc>
        <w:tc>
          <w:tcPr>
            <w:tcW w:w="3430" w:type="dxa"/>
            <w:vAlign w:val="center"/>
          </w:tcPr>
          <w:p>
            <w:pPr>
              <w:pStyle w:val="13"/>
            </w:pPr>
            <w:r>
              <w:t>免费开放场馆覆盖率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免费开放完成时间</w:t>
            </w:r>
          </w:p>
        </w:tc>
        <w:tc>
          <w:tcPr>
            <w:tcW w:w="3430" w:type="dxa"/>
            <w:vAlign w:val="center"/>
          </w:tcPr>
          <w:p>
            <w:pPr>
              <w:pStyle w:val="13"/>
            </w:pPr>
            <w:r>
              <w:t>免费开放完成时间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补助金额</w:t>
            </w:r>
          </w:p>
        </w:tc>
        <w:tc>
          <w:tcPr>
            <w:tcW w:w="3430" w:type="dxa"/>
            <w:vAlign w:val="center"/>
          </w:tcPr>
          <w:p>
            <w:pPr>
              <w:pStyle w:val="13"/>
            </w:pPr>
            <w:r>
              <w:t>补助金额</w:t>
            </w:r>
          </w:p>
        </w:tc>
        <w:tc>
          <w:tcPr>
            <w:tcW w:w="2551" w:type="dxa"/>
            <w:vAlign w:val="center"/>
          </w:tcPr>
          <w:p>
            <w:pPr>
              <w:pStyle w:val="13"/>
            </w:pPr>
            <w:r>
              <w:t>≤1400000元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提高博物馆正常运行率</w:t>
            </w:r>
          </w:p>
        </w:tc>
        <w:tc>
          <w:tcPr>
            <w:tcW w:w="3430" w:type="dxa"/>
            <w:vAlign w:val="center"/>
          </w:tcPr>
          <w:p>
            <w:pPr>
              <w:pStyle w:val="13"/>
            </w:pPr>
            <w:r>
              <w:t>提高博物馆正常运行率</w:t>
            </w:r>
          </w:p>
        </w:tc>
        <w:tc>
          <w:tcPr>
            <w:tcW w:w="2551" w:type="dxa"/>
            <w:vAlign w:val="center"/>
          </w:tcPr>
          <w:p>
            <w:pPr>
              <w:pStyle w:val="13"/>
            </w:pPr>
            <w:r>
              <w:t>有效提高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3430" w:type="dxa"/>
            <w:vAlign w:val="center"/>
          </w:tcPr>
          <w:p>
            <w:pPr>
              <w:pStyle w:val="13"/>
            </w:pPr>
            <w:r>
              <w:t>群众满意度</w:t>
            </w:r>
          </w:p>
        </w:tc>
        <w:tc>
          <w:tcPr>
            <w:tcW w:w="2551" w:type="dxa"/>
            <w:vAlign w:val="center"/>
          </w:tcPr>
          <w:p>
            <w:pPr>
              <w:pStyle w:val="13"/>
            </w:pPr>
            <w:r>
              <w:t>≥90%</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5"/>
  </w:compat>
  <w:rsids>
    <w:rsidRoot w:val="00000000"/>
    <w:rsid w:val="3DB7F07B"/>
    <w:rsid w:val="5FCF9E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2026-01-21T08:09:00Z</dcterms:created>
  <dc:creator>kylin</dc:creator>
  <cp:lastModifiedBy>办公室（党政收发）</cp:lastModifiedBy>
  <dcterms:modified xsi:type="dcterms:W3CDTF">2026-02-03T13:48:51Z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