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rPr>
          <w:rFonts w:hint="eastAsia" w:eastAsia="方正小标宋_GBK"/>
          <w:lang w:eastAsia="zh-CN"/>
        </w:rPr>
      </w:pPr>
      <w:r>
        <w:rPr>
          <w:rFonts w:ascii="方正小标宋_GBK" w:hAnsi="方正小标宋_GBK" w:eastAsia="方正小标宋_GBK" w:cs="方正小标宋_GBK"/>
          <w:sz w:val="72"/>
        </w:rPr>
        <w:t>天津市滨海新区</w:t>
      </w:r>
      <w:r>
        <w:rPr>
          <w:rFonts w:hint="eastAsia" w:ascii="方正小标宋_GBK" w:hAnsi="方正小标宋_GBK" w:eastAsia="方正小标宋_GBK" w:cs="方正小标宋_GBK"/>
          <w:sz w:val="72"/>
          <w:lang w:eastAsia="zh-CN"/>
        </w:rPr>
        <w:t>图书馆</w:t>
      </w:r>
    </w:p>
    <w:p>
      <w:pPr>
        <w:spacing w:before="0" w:after="0" w:line="240" w:lineRule="auto"/>
        <w:ind w:firstLine="0"/>
        <w:jc w:val="center"/>
        <w:outlineLvl w:val="9"/>
      </w:pPr>
      <w:r>
        <w:rPr>
          <w:rFonts w:ascii="方正小标宋_GBK" w:hAnsi="方正小标宋_GBK" w:eastAsia="方正小标宋_GBK" w:cs="方正小标宋_GBK"/>
          <w:sz w:val="72"/>
        </w:rPr>
        <w:t>2026年部门预算绩效文本</w:t>
      </w:r>
    </w:p>
    <w:p>
      <w:pPr>
        <w:spacing w:before="0" w:after="0" w:line="240" w:lineRule="auto"/>
        <w:ind w:firstLine="0"/>
        <w:jc w:val="center"/>
        <w:outlineLvl w:val="9"/>
      </w:pP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方正楷体_GBK" w:hAnsi="方正楷体_GBK" w:eastAsia="方正楷体_GBK" w:cs="方正楷体_GBK"/>
          <w:b/>
          <w:sz w:val="32"/>
        </w:rPr>
        <w:t>天津市滨海新区文化和旅游局编制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sz w:val="32"/>
        </w:rPr>
        <w:t>审核</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sz w:val="36"/>
        </w:rPr>
        <w:t xml:space="preserve"> </w:t>
      </w:r>
    </w:p>
    <w:p>
      <w:pPr>
        <w:spacing w:before="0" w:after="0" w:line="240" w:lineRule="auto"/>
        <w:ind w:firstLine="0"/>
        <w:jc w:val="center"/>
        <w:outlineLvl w:val="0"/>
      </w:pPr>
      <w:r>
        <w:rPr>
          <w:rFonts w:ascii="方正小标宋_GBK" w:hAnsi="方正小标宋_GBK" w:eastAsia="方正小标宋_GBK" w:cs="方正小标宋_GBK"/>
          <w:sz w:val="36"/>
        </w:rPr>
        <w:t>目    录</w:t>
      </w:r>
    </w:p>
    <w:p>
      <w:pPr>
        <w:spacing w:before="0" w:after="0" w:line="240" w:lineRule="auto"/>
        <w:ind w:firstLine="0"/>
        <w:jc w:val="center"/>
        <w:outlineLvl w:val="9"/>
      </w:pPr>
      <w:r>
        <w:rPr>
          <w:rFonts w:ascii="方正小标宋_GBK" w:hAnsi="方正小标宋_GBK" w:eastAsia="方正小标宋_GBK" w:cs="方正小标宋_GBK"/>
          <w:sz w:val="30"/>
        </w:rPr>
        <w:t xml:space="preserve"> </w:t>
      </w:r>
    </w:p>
    <w:p>
      <w:pPr>
        <w:spacing w:before="0" w:after="0" w:line="240" w:lineRule="auto"/>
        <w:ind w:firstLine="0"/>
        <w:jc w:val="center"/>
        <w:outlineLvl w:val="9"/>
      </w:pPr>
      <w:r>
        <w:rPr>
          <w:rFonts w:ascii="方正小标宋_GBK" w:hAnsi="方正小标宋_GBK" w:eastAsia="方正小标宋_GBK" w:cs="方正小标宋_GBK"/>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3</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sz w:val="30"/>
        </w:rPr>
        <w:t>第二部分 预算项目绩效目标</w:t>
      </w:r>
    </w:p>
    <w:p>
      <w:pPr>
        <w:pStyle w:val="2"/>
        <w:tabs>
          <w:tab w:val="right" w:leader="dot" w:pos="9282"/>
        </w:tabs>
      </w:pPr>
      <w:bookmarkStart w:id="12" w:name="_GoBack"/>
      <w:r>
        <w:fldChar w:fldCharType="begin"/>
      </w:r>
      <w:r>
        <w:instrText xml:space="preserve">TOC \o "4-4" \h \z \u</w:instrText>
      </w:r>
      <w:r>
        <w:fldChar w:fldCharType="separate"/>
      </w:r>
      <w:r>
        <w:fldChar w:fldCharType="begin"/>
      </w:r>
      <w:r>
        <w:instrText xml:space="preserve"> HYPERLINK \l _Toc128981706 </w:instrText>
      </w:r>
      <w:r>
        <w:fldChar w:fldCharType="separate"/>
      </w:r>
      <w:r>
        <w:t>20.2026年滨海新区图书馆文化中心物业及能源费绩效目标表</w:t>
      </w:r>
      <w:r>
        <w:tab/>
      </w:r>
      <w:r>
        <w:fldChar w:fldCharType="begin"/>
      </w:r>
      <w:r>
        <w:instrText xml:space="preserve"> PAGEREF _Toc128981706 </w:instrText>
      </w:r>
      <w:r>
        <w:fldChar w:fldCharType="separate"/>
      </w:r>
      <w:r>
        <w:t>4</w:t>
      </w:r>
      <w:r>
        <w:fldChar w:fldCharType="end"/>
      </w:r>
      <w:r>
        <w:fldChar w:fldCharType="end"/>
      </w:r>
    </w:p>
    <w:p>
      <w:pPr>
        <w:pStyle w:val="2"/>
        <w:tabs>
          <w:tab w:val="right" w:leader="dot" w:pos="9282"/>
        </w:tabs>
      </w:pPr>
      <w:r>
        <w:fldChar w:fldCharType="begin"/>
      </w:r>
      <w:r>
        <w:instrText xml:space="preserve"> HYPERLINK \l _Toc1271922830 </w:instrText>
      </w:r>
      <w:r>
        <w:fldChar w:fldCharType="separate"/>
      </w:r>
      <w:r>
        <w:t>21.2026年滨海新区图书馆运转费用绩效目标表</w:t>
      </w:r>
      <w:r>
        <w:tab/>
      </w:r>
      <w:r>
        <w:fldChar w:fldCharType="begin"/>
      </w:r>
      <w:r>
        <w:instrText xml:space="preserve"> PAGEREF _Toc1271922830 </w:instrText>
      </w:r>
      <w:r>
        <w:fldChar w:fldCharType="separate"/>
      </w:r>
      <w:r>
        <w:t>5</w:t>
      </w:r>
      <w:r>
        <w:fldChar w:fldCharType="end"/>
      </w:r>
      <w:r>
        <w:fldChar w:fldCharType="end"/>
      </w:r>
    </w:p>
    <w:p>
      <w:pPr>
        <w:pStyle w:val="2"/>
        <w:tabs>
          <w:tab w:val="right" w:leader="dot" w:pos="9282"/>
        </w:tabs>
      </w:pPr>
      <w:r>
        <w:fldChar w:fldCharType="begin"/>
      </w:r>
      <w:r>
        <w:instrText xml:space="preserve"> HYPERLINK \l _Toc1208005115 </w:instrText>
      </w:r>
      <w:r>
        <w:fldChar w:fldCharType="separate"/>
      </w:r>
      <w:r>
        <w:t>22.2026年编制外长聘人员经费项目（机关事业单位辅助人员）绩效目标表</w:t>
      </w:r>
      <w:r>
        <w:tab/>
      </w:r>
      <w:r>
        <w:fldChar w:fldCharType="begin"/>
      </w:r>
      <w:r>
        <w:instrText xml:space="preserve"> PAGEREF _Toc1208005115 </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_Toc35357523 </w:instrText>
      </w:r>
      <w:r>
        <w:fldChar w:fldCharType="separate"/>
      </w:r>
      <w:r>
        <w:t>23.2026年滨海新区图书馆公共文化服务项目*绩效目标表</w:t>
      </w:r>
      <w:r>
        <w:tab/>
      </w:r>
      <w:r>
        <w:fldChar w:fldCharType="begin"/>
      </w:r>
      <w:r>
        <w:instrText xml:space="preserve"> PAGEREF _Toc35357523 </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_Toc227694453 </w:instrText>
      </w:r>
      <w:r>
        <w:fldChar w:fldCharType="separate"/>
      </w:r>
      <w:r>
        <w:t>24.2026年滨海新区图书馆区级免费开放绩效目标表</w:t>
      </w:r>
      <w:r>
        <w:tab/>
      </w:r>
      <w:r>
        <w:fldChar w:fldCharType="begin"/>
      </w:r>
      <w:r>
        <w:instrText xml:space="preserve"> PAGEREF _Toc227694453 </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_Toc973948688 </w:instrText>
      </w:r>
      <w:r>
        <w:fldChar w:fldCharType="separate"/>
      </w:r>
      <w:r>
        <w:t>25.2026年滨海新区图书馆图书报刊数字资源网络宽带项目*绩效目标表</w:t>
      </w:r>
      <w:r>
        <w:tab/>
      </w:r>
      <w:r>
        <w:fldChar w:fldCharType="begin"/>
      </w:r>
      <w:r>
        <w:instrText xml:space="preserve"> PAGEREF _Toc973948688 </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_Toc680982423 </w:instrText>
      </w:r>
      <w:r>
        <w:fldChar w:fldCharType="separate"/>
      </w:r>
      <w:r>
        <w:t>26.2026年滨海新区图书馆网络及文献资源等进度款绩效目标表</w:t>
      </w:r>
      <w:r>
        <w:tab/>
      </w:r>
      <w:r>
        <w:fldChar w:fldCharType="begin"/>
      </w:r>
      <w:r>
        <w:instrText xml:space="preserve"> PAGEREF _Toc680982423 </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_Toc2013600691 </w:instrText>
      </w:r>
      <w:r>
        <w:fldChar w:fldCharType="separate"/>
      </w:r>
      <w:r>
        <w:t>27.图书馆-天津市财政局关于提前下达2026年国家文物保护资金预算的通知（津财教指【2025】96号）绩效目标表</w:t>
      </w:r>
      <w:r>
        <w:tab/>
      </w:r>
      <w:r>
        <w:fldChar w:fldCharType="begin"/>
      </w:r>
      <w:r>
        <w:instrText xml:space="preserve"> PAGEREF _Toc2013600691 </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_Toc2072359420 </w:instrText>
      </w:r>
      <w:r>
        <w:fldChar w:fldCharType="separate"/>
      </w:r>
      <w:r>
        <w:t>28.图书馆-天津市财政局关于提前下达2026年中央支持地方公共文化服务体系建设补助资金预算的通知（津财教指[2025]95号）绩效目标表</w:t>
      </w:r>
      <w:r>
        <w:tab/>
      </w:r>
      <w:r>
        <w:fldChar w:fldCharType="begin"/>
      </w:r>
      <w:r>
        <w:instrText xml:space="preserve"> PAGEREF _Toc2072359420 </w:instrText>
      </w:r>
      <w:r>
        <w:fldChar w:fldCharType="separate"/>
      </w:r>
      <w:r>
        <w:t>13</w:t>
      </w:r>
      <w:r>
        <w:fldChar w:fldCharType="end"/>
      </w:r>
      <w:r>
        <w:fldChar w:fldCharType="end"/>
      </w:r>
    </w:p>
    <w:p>
      <w:pPr>
        <w:pStyle w:val="2"/>
        <w:tabs>
          <w:tab w:val="right" w:leader="dot" w:pos="9282"/>
        </w:tabs>
        <w:sectPr>
          <w:footerReference r:id="rId3" w:type="default"/>
          <w:footerReference r:id="rId4" w:type="even"/>
          <w:pgSz w:w="11900" w:h="16840"/>
          <w:pgMar w:top="1984" w:right="1304" w:bottom="1134" w:left="1304" w:header="720" w:footer="720" w:gutter="0"/>
          <w:pgNumType w:start="1"/>
          <w:cols w:space="720" w:num="1"/>
        </w:sectPr>
      </w:pPr>
      <w:r>
        <w:fldChar w:fldCharType="end"/>
      </w:r>
      <w:bookmarkEnd w:id="12"/>
    </w:p>
    <w:p>
      <w:pPr>
        <w:spacing w:before="0" w:after="0" w:line="240" w:lineRule="auto"/>
        <w:ind w:firstLine="0"/>
        <w:jc w:val="center"/>
        <w:outlineLvl w:val="9"/>
      </w:pPr>
      <w:r>
        <w:rPr>
          <w:rFonts w:ascii="方正小标宋_GBK" w:hAnsi="方正小标宋_GBK" w:eastAsia="方正小标宋_GBK" w:cs="方正小标宋_GBK"/>
          <w:sz w:val="44"/>
        </w:rPr>
        <w:t xml:space="preserve"> </w:t>
      </w:r>
    </w:p>
    <w:p>
      <w:pPr>
        <w:spacing w:before="0" w:after="0" w:line="240" w:lineRule="auto"/>
        <w:ind w:firstLine="0"/>
        <w:jc w:val="center"/>
        <w:outlineLvl w:val="9"/>
      </w:pPr>
      <w:r>
        <w:rPr>
          <w:rFonts w:ascii="方正小标宋_GBK" w:hAnsi="方正小标宋_GBK" w:eastAsia="方正小标宋_GBK" w:cs="方正小标宋_GBK"/>
          <w:sz w:val="44"/>
        </w:rPr>
        <w:t>第一部分</w:t>
      </w:r>
    </w:p>
    <w:p>
      <w:pPr>
        <w:spacing w:before="0" w:after="0" w:line="240" w:lineRule="auto"/>
        <w:ind w:firstLine="0"/>
        <w:jc w:val="center"/>
        <w:outlineLvl w:val="0"/>
      </w:pPr>
      <w:r>
        <w:rPr>
          <w:rFonts w:ascii="方正小标宋_GBK" w:hAnsi="方正小标宋_GBK" w:eastAsia="方正小标宋_GBK" w:cs="方正小标宋_GBK"/>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sz w:val="28"/>
        </w:rPr>
        <w:t>一、总体绩效目标</w:t>
      </w:r>
      <w:bookmarkEnd w:id="0"/>
    </w:p>
    <w:p>
      <w:pPr>
        <w:pStyle w:val="8"/>
      </w:pPr>
    </w:p>
    <w:p>
      <w:pPr>
        <w:spacing w:before="10" w:after="10"/>
        <w:ind w:firstLine="560"/>
        <w:jc w:val="left"/>
        <w:outlineLvl w:val="1"/>
      </w:pPr>
      <w:bookmarkStart w:id="1" w:name="_Toc_2_2_0000000002"/>
      <w:r>
        <w:rPr>
          <w:rFonts w:ascii="方正黑体_GBK" w:hAnsi="方正黑体_GBK" w:eastAsia="方正黑体_GBK" w:cs="方正黑体_GBK"/>
          <w:sz w:val="28"/>
        </w:rPr>
        <w:t>二、分项绩效目标</w:t>
      </w:r>
      <w:bookmarkEnd w:id="1"/>
    </w:p>
    <w:p>
      <w:pPr>
        <w:pStyle w:val="9"/>
      </w:pPr>
    </w:p>
    <w:p>
      <w:pPr>
        <w:spacing w:before="10" w:after="10"/>
        <w:ind w:firstLine="560"/>
        <w:jc w:val="left"/>
        <w:outlineLvl w:val="1"/>
      </w:pPr>
      <w:bookmarkStart w:id="2" w:name="_Toc_2_2_0000000003"/>
      <w:r>
        <w:rPr>
          <w:rFonts w:ascii="方正黑体_GBK" w:hAnsi="方正黑体_GBK" w:eastAsia="方正黑体_GBK" w:cs="方正黑体_GBK"/>
          <w:sz w:val="28"/>
        </w:rPr>
        <w:t>三、工作保障措施</w:t>
      </w:r>
      <w:bookmarkEnd w:id="2"/>
    </w:p>
    <w:p>
      <w:pPr>
        <w:pStyle w:val="10"/>
      </w:pP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sz w:val="21"/>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44"/>
        </w:rPr>
        <w:t>第二部分</w:t>
      </w:r>
    </w:p>
    <w:p>
      <w:pPr>
        <w:spacing w:before="0" w:after="0" w:line="240" w:lineRule="auto"/>
        <w:ind w:firstLine="0"/>
        <w:jc w:val="center"/>
        <w:outlineLvl w:val="9"/>
      </w:pPr>
      <w:r>
        <w:rPr>
          <w:rFonts w:ascii="方正小标宋_GBK" w:hAnsi="方正小标宋_GBK" w:eastAsia="方正小标宋_GBK" w:cs="方正小标宋_GBK"/>
          <w:sz w:val="44"/>
        </w:rPr>
        <w:t xml:space="preserve"> </w:t>
      </w:r>
    </w:p>
    <w:p>
      <w:pPr>
        <w:spacing w:before="0" w:after="0" w:line="240" w:lineRule="auto"/>
        <w:ind w:firstLine="0"/>
        <w:jc w:val="center"/>
        <w:outlineLvl w:val="0"/>
      </w:pPr>
      <w:r>
        <w:rPr>
          <w:rFonts w:ascii="方正小标宋_GBK" w:hAnsi="方正小标宋_GBK" w:eastAsia="方正小标宋_GBK" w:cs="方正小标宋_GBK"/>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sz w:val="21"/>
        </w:rPr>
        <w:t xml:space="preserve"> </w:t>
      </w: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 w:name="_Toc128981706"/>
      <w:r>
        <w:rPr>
          <w:rFonts w:ascii="方正仿宋_GBK" w:hAnsi="方正仿宋_GBK" w:eastAsia="方正仿宋_GBK" w:cs="方正仿宋_GBK"/>
          <w:sz w:val="28"/>
        </w:rPr>
        <w:t>20.2026年滨海新区图书馆文化中心物业及能源费绩效目标表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363201天津市滨海新区图书馆</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2026年滨海新区图书馆文化中心物业及能源费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5000000.00</w:t>
            </w:r>
          </w:p>
        </w:tc>
        <w:tc>
          <w:tcPr>
            <w:tcW w:w="1587" w:type="dxa"/>
            <w:vAlign w:val="center"/>
          </w:tcPr>
          <w:p>
            <w:pPr>
              <w:pStyle w:val="14"/>
            </w:pPr>
            <w:r>
              <w:t>其中：财政    资金</w:t>
            </w:r>
          </w:p>
        </w:tc>
        <w:tc>
          <w:tcPr>
            <w:tcW w:w="1843" w:type="dxa"/>
            <w:vAlign w:val="center"/>
          </w:tcPr>
          <w:p>
            <w:pPr>
              <w:pStyle w:val="13"/>
            </w:pPr>
            <w:r>
              <w:t>5000000.00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滨海新区图书馆文化中心场馆物业及能源费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1.提供滨海新图书馆文化中心场馆所需的物业及能源费用，滨海新区图书馆场馆正常运营得到了保障，滨海新区人民群众文化需求得到保障</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使用场馆数量</w:t>
            </w:r>
          </w:p>
        </w:tc>
        <w:tc>
          <w:tcPr>
            <w:tcW w:w="3430" w:type="dxa"/>
            <w:vAlign w:val="center"/>
          </w:tcPr>
          <w:p>
            <w:pPr>
              <w:pStyle w:val="13"/>
            </w:pPr>
            <w:r>
              <w:t>使用场馆数量</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房屋安全检查水平达标率</w:t>
            </w:r>
          </w:p>
        </w:tc>
        <w:tc>
          <w:tcPr>
            <w:tcW w:w="3430" w:type="dxa"/>
            <w:vAlign w:val="center"/>
          </w:tcPr>
          <w:p>
            <w:pPr>
              <w:pStyle w:val="13"/>
            </w:pPr>
            <w:r>
              <w:t>房屋安全检查水平达标率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场馆开放时长</w:t>
            </w:r>
          </w:p>
        </w:tc>
        <w:tc>
          <w:tcPr>
            <w:tcW w:w="3430" w:type="dxa"/>
            <w:vAlign w:val="center"/>
          </w:tcPr>
          <w:p>
            <w:pPr>
              <w:pStyle w:val="13"/>
            </w:pPr>
            <w:r>
              <w:t>场馆开放时长</w:t>
            </w:r>
          </w:p>
        </w:tc>
        <w:tc>
          <w:tcPr>
            <w:tcW w:w="2551" w:type="dxa"/>
            <w:vAlign w:val="center"/>
          </w:tcPr>
          <w:p>
            <w:pPr>
              <w:pStyle w:val="13"/>
            </w:pPr>
            <w:r>
              <w:t>12个月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使用成本</w:t>
            </w:r>
          </w:p>
        </w:tc>
        <w:tc>
          <w:tcPr>
            <w:tcW w:w="3430" w:type="dxa"/>
            <w:vAlign w:val="center"/>
          </w:tcPr>
          <w:p>
            <w:pPr>
              <w:pStyle w:val="13"/>
            </w:pPr>
            <w:r>
              <w:t>使用成本</w:t>
            </w:r>
          </w:p>
        </w:tc>
        <w:tc>
          <w:tcPr>
            <w:tcW w:w="2551" w:type="dxa"/>
            <w:vAlign w:val="center"/>
          </w:tcPr>
          <w:p>
            <w:pPr>
              <w:pStyle w:val="13"/>
            </w:pPr>
            <w:r>
              <w:t>≤500万元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公共文化场馆有序开放率</w:t>
            </w:r>
          </w:p>
        </w:tc>
        <w:tc>
          <w:tcPr>
            <w:tcW w:w="3430" w:type="dxa"/>
            <w:vAlign w:val="center"/>
          </w:tcPr>
          <w:p>
            <w:pPr>
              <w:pStyle w:val="13"/>
            </w:pPr>
            <w:r>
              <w:t>公共文化场馆有序开放率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读者满意度</w:t>
            </w:r>
          </w:p>
        </w:tc>
        <w:tc>
          <w:tcPr>
            <w:tcW w:w="3430" w:type="dxa"/>
            <w:vAlign w:val="center"/>
          </w:tcPr>
          <w:p>
            <w:pPr>
              <w:pStyle w:val="13"/>
            </w:pPr>
            <w:r>
              <w:t>读者满意度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 w:name="_Toc1271922830"/>
      <w:r>
        <w:rPr>
          <w:rFonts w:ascii="方正仿宋_GBK" w:hAnsi="方正仿宋_GBK" w:eastAsia="方正仿宋_GBK" w:cs="方正仿宋_GBK"/>
          <w:sz w:val="28"/>
        </w:rPr>
        <w:t>21.2026年滨海新区图书馆运转费用绩效目标表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363201天津市滨海新区图书馆</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2026年滨海新区图书馆运转费用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1250000.00</w:t>
            </w:r>
          </w:p>
        </w:tc>
        <w:tc>
          <w:tcPr>
            <w:tcW w:w="1587" w:type="dxa"/>
            <w:vAlign w:val="center"/>
          </w:tcPr>
          <w:p>
            <w:pPr>
              <w:pStyle w:val="14"/>
            </w:pPr>
            <w:r>
              <w:t>其中：财政    资金</w:t>
            </w:r>
          </w:p>
        </w:tc>
        <w:tc>
          <w:tcPr>
            <w:tcW w:w="1843" w:type="dxa"/>
            <w:vAlign w:val="center"/>
          </w:tcPr>
          <w:p>
            <w:pPr>
              <w:pStyle w:val="13"/>
            </w:pPr>
            <w:r>
              <w:t>1250000.00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用于各馆区物业及暖气费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1.通过对图书馆场馆运维补贴，提升读者阅读环境质量</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补贴图书馆场馆数量</w:t>
            </w:r>
          </w:p>
        </w:tc>
        <w:tc>
          <w:tcPr>
            <w:tcW w:w="3430" w:type="dxa"/>
            <w:vAlign w:val="center"/>
          </w:tcPr>
          <w:p>
            <w:pPr>
              <w:pStyle w:val="13"/>
            </w:pPr>
            <w:r>
              <w:t>补贴图书馆场馆数量</w:t>
            </w:r>
          </w:p>
        </w:tc>
        <w:tc>
          <w:tcPr>
            <w:tcW w:w="2551" w:type="dxa"/>
            <w:vAlign w:val="center"/>
          </w:tcPr>
          <w:p>
            <w:pPr>
              <w:pStyle w:val="13"/>
            </w:pP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运维服务达标率</w:t>
            </w:r>
          </w:p>
        </w:tc>
        <w:tc>
          <w:tcPr>
            <w:tcW w:w="3430" w:type="dxa"/>
            <w:vAlign w:val="center"/>
          </w:tcPr>
          <w:p>
            <w:pPr>
              <w:pStyle w:val="13"/>
            </w:pPr>
            <w:r>
              <w:t>运维服务达标率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场馆维护时效</w:t>
            </w:r>
          </w:p>
        </w:tc>
        <w:tc>
          <w:tcPr>
            <w:tcW w:w="3430" w:type="dxa"/>
            <w:vAlign w:val="center"/>
          </w:tcPr>
          <w:p>
            <w:pPr>
              <w:pStyle w:val="13"/>
            </w:pPr>
            <w:r>
              <w:t>场馆维护时效</w:t>
            </w:r>
          </w:p>
        </w:tc>
        <w:tc>
          <w:tcPr>
            <w:tcW w:w="2551" w:type="dxa"/>
            <w:vAlign w:val="center"/>
          </w:tcPr>
          <w:p>
            <w:pPr>
              <w:pStyle w:val="13"/>
            </w:pPr>
            <w:r>
              <w:t>12个月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场馆运行成本</w:t>
            </w:r>
          </w:p>
        </w:tc>
        <w:tc>
          <w:tcPr>
            <w:tcW w:w="3430" w:type="dxa"/>
            <w:vAlign w:val="center"/>
          </w:tcPr>
          <w:p>
            <w:pPr>
              <w:pStyle w:val="13"/>
            </w:pPr>
            <w:r>
              <w:t>场馆运行成本</w:t>
            </w:r>
          </w:p>
        </w:tc>
        <w:tc>
          <w:tcPr>
            <w:tcW w:w="2551" w:type="dxa"/>
            <w:vAlign w:val="center"/>
          </w:tcPr>
          <w:p>
            <w:pPr>
              <w:pStyle w:val="13"/>
            </w:pPr>
            <w:r>
              <w:t>≤125万元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提升读者阅读环境质量</w:t>
            </w:r>
          </w:p>
        </w:tc>
        <w:tc>
          <w:tcPr>
            <w:tcW w:w="3430" w:type="dxa"/>
            <w:vAlign w:val="center"/>
          </w:tcPr>
          <w:p>
            <w:pPr>
              <w:pStyle w:val="13"/>
            </w:pPr>
            <w:r>
              <w:t>提升读者阅读环境质量</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读者满意度</w:t>
            </w:r>
          </w:p>
        </w:tc>
        <w:tc>
          <w:tcPr>
            <w:tcW w:w="3430" w:type="dxa"/>
            <w:vAlign w:val="center"/>
          </w:tcPr>
          <w:p>
            <w:pPr>
              <w:pStyle w:val="13"/>
            </w:pPr>
            <w:r>
              <w:t>读者满意度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 w:name="_Toc1208005115"/>
      <w:r>
        <w:rPr>
          <w:rFonts w:ascii="方正仿宋_GBK" w:hAnsi="方正仿宋_GBK" w:eastAsia="方正仿宋_GBK" w:cs="方正仿宋_GBK"/>
          <w:sz w:val="28"/>
        </w:rPr>
        <w:t>22.2026年编制外长聘人员经费项目（机关事业单位辅助人员）绩效目标表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363201天津市滨海新区图书馆</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2026年编制外长聘人员经费项目（机关事业单位辅助人员）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2227200.00</w:t>
            </w:r>
          </w:p>
        </w:tc>
        <w:tc>
          <w:tcPr>
            <w:tcW w:w="1587" w:type="dxa"/>
            <w:vAlign w:val="center"/>
          </w:tcPr>
          <w:p>
            <w:pPr>
              <w:pStyle w:val="14"/>
            </w:pPr>
            <w:r>
              <w:t>其中：财政    资金</w:t>
            </w:r>
          </w:p>
        </w:tc>
        <w:tc>
          <w:tcPr>
            <w:tcW w:w="1843" w:type="dxa"/>
            <w:vAlign w:val="center"/>
          </w:tcPr>
          <w:p>
            <w:pPr>
              <w:pStyle w:val="13"/>
            </w:pPr>
            <w:r>
              <w:t>2227200.00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为保障派遣人员基本合法权益，保障工作顺利推进，用于发放派遣制人员工作经费。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1.通过发放多种用工派遣人员工作经费，保障派遣员工的基本合法权益，保障工作顺利推进。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多种用工人员经费发放人数</w:t>
            </w:r>
          </w:p>
        </w:tc>
        <w:tc>
          <w:tcPr>
            <w:tcW w:w="3430" w:type="dxa"/>
            <w:vAlign w:val="center"/>
          </w:tcPr>
          <w:p>
            <w:pPr>
              <w:pStyle w:val="13"/>
            </w:pPr>
            <w:r>
              <w:t>通过考量实际多种用工人员经费发放人数，反映多种用工人员经费发放工作开展的完成情况。</w:t>
            </w:r>
          </w:p>
        </w:tc>
        <w:tc>
          <w:tcPr>
            <w:tcW w:w="2551" w:type="dxa"/>
            <w:vAlign w:val="center"/>
          </w:tcPr>
          <w:p>
            <w:pPr>
              <w:pStyle w:val="13"/>
            </w:pPr>
            <w:r>
              <w:t>≥29人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多种用工人员经费发放准确率</w:t>
            </w:r>
          </w:p>
        </w:tc>
        <w:tc>
          <w:tcPr>
            <w:tcW w:w="3430" w:type="dxa"/>
            <w:vAlign w:val="center"/>
          </w:tcPr>
          <w:p>
            <w:pPr>
              <w:pStyle w:val="13"/>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多种用工人员经费发放完成时间</w:t>
            </w:r>
          </w:p>
        </w:tc>
        <w:tc>
          <w:tcPr>
            <w:tcW w:w="3430" w:type="dxa"/>
            <w:vAlign w:val="center"/>
          </w:tcPr>
          <w:p>
            <w:pPr>
              <w:pStyle w:val="13"/>
            </w:pPr>
            <w:r>
              <w:t>通过考量实际多种用工人员经费发放完成时间，反映多种用工人员经费发放工作开展的完成情况。</w:t>
            </w:r>
          </w:p>
        </w:tc>
        <w:tc>
          <w:tcPr>
            <w:tcW w:w="2551" w:type="dxa"/>
            <w:vAlign w:val="center"/>
          </w:tcPr>
          <w:p>
            <w:pPr>
              <w:pStyle w:val="13"/>
            </w:pPr>
            <w:r>
              <w:t>2026年12月底前</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多种用工人员经费标准</w:t>
            </w:r>
          </w:p>
        </w:tc>
        <w:tc>
          <w:tcPr>
            <w:tcW w:w="3430" w:type="dxa"/>
            <w:vAlign w:val="center"/>
          </w:tcPr>
          <w:p>
            <w:pPr>
              <w:pStyle w:val="13"/>
            </w:pPr>
            <w:r>
              <w:t>通过实际支出标准与规定支出标准比对，反映多种用工人员经费支出标准的符合情况。</w:t>
            </w:r>
          </w:p>
        </w:tc>
        <w:tc>
          <w:tcPr>
            <w:tcW w:w="2551" w:type="dxa"/>
            <w:vAlign w:val="center"/>
          </w:tcPr>
          <w:p>
            <w:pPr>
              <w:pStyle w:val="13"/>
            </w:pPr>
            <w:r>
              <w:t>≤7.68万元/人/年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多种用工人员到岗率</w:t>
            </w:r>
          </w:p>
        </w:tc>
        <w:tc>
          <w:tcPr>
            <w:tcW w:w="3430" w:type="dxa"/>
            <w:vAlign w:val="center"/>
          </w:tcPr>
          <w:p>
            <w:pPr>
              <w:pStyle w:val="13"/>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完善多种用工人员经费管理制度</w:t>
            </w:r>
          </w:p>
        </w:tc>
        <w:tc>
          <w:tcPr>
            <w:tcW w:w="3430" w:type="dxa"/>
            <w:vAlign w:val="center"/>
          </w:tcPr>
          <w:p>
            <w:pPr>
              <w:pStyle w:val="13"/>
            </w:pPr>
            <w:r>
              <w:t>通过多种用工人员经费管理制度或办法的完善情况，反映多种用工人员经费管理工作开展的长效保障效果。</w:t>
            </w:r>
          </w:p>
        </w:tc>
        <w:tc>
          <w:tcPr>
            <w:tcW w:w="2551" w:type="dxa"/>
            <w:vAlign w:val="center"/>
          </w:tcPr>
          <w:p>
            <w:pPr>
              <w:pStyle w:val="13"/>
            </w:pPr>
            <w:r>
              <w:t>持续有效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多种用工人员满意度</w:t>
            </w:r>
          </w:p>
        </w:tc>
        <w:tc>
          <w:tcPr>
            <w:tcW w:w="3430" w:type="dxa"/>
            <w:vAlign w:val="center"/>
          </w:tcPr>
          <w:p>
            <w:pPr>
              <w:pStyle w:val="13"/>
            </w:pPr>
            <w:r>
              <w:t>通过调查问卷中满意人数与调查总人数的比率，反映被调查对象对本项目的满意程度。计算公式：各类问题满意人数÷调查总人数×100%</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6" w:name="_Toc35357523"/>
      <w:r>
        <w:rPr>
          <w:rFonts w:ascii="方正仿宋_GBK" w:hAnsi="方正仿宋_GBK" w:eastAsia="方正仿宋_GBK" w:cs="方正仿宋_GBK"/>
          <w:sz w:val="28"/>
        </w:rPr>
        <w:t>23.2026年滨海新区图书馆公共文化服务项目*绩效目标表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363201天津市滨海新区图书馆</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2026年滨海新区图书馆公共文化服务项目*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1000000.00</w:t>
            </w:r>
          </w:p>
        </w:tc>
        <w:tc>
          <w:tcPr>
            <w:tcW w:w="1587" w:type="dxa"/>
            <w:vAlign w:val="center"/>
          </w:tcPr>
          <w:p>
            <w:pPr>
              <w:pStyle w:val="14"/>
            </w:pPr>
            <w:r>
              <w:t>其中：财政    资金</w:t>
            </w:r>
          </w:p>
        </w:tc>
        <w:tc>
          <w:tcPr>
            <w:tcW w:w="1843" w:type="dxa"/>
            <w:vAlign w:val="center"/>
          </w:tcPr>
          <w:p>
            <w:pPr>
              <w:pStyle w:val="13"/>
            </w:pPr>
            <w:r>
              <w:t>1000000.00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1.对图书馆各馆区公共文化服务项目进行保障，为新区读者提供优质文化服务</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场馆数量</w:t>
            </w:r>
          </w:p>
        </w:tc>
        <w:tc>
          <w:tcPr>
            <w:tcW w:w="3430" w:type="dxa"/>
            <w:vAlign w:val="center"/>
          </w:tcPr>
          <w:p>
            <w:pPr>
              <w:pStyle w:val="13"/>
            </w:pPr>
            <w:r>
              <w:t>场馆数量</w:t>
            </w:r>
          </w:p>
        </w:tc>
        <w:tc>
          <w:tcPr>
            <w:tcW w:w="2551" w:type="dxa"/>
            <w:vAlign w:val="center"/>
          </w:tcPr>
          <w:p>
            <w:pPr>
              <w:pStyle w:val="13"/>
            </w:pP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场馆开放率</w:t>
            </w:r>
          </w:p>
        </w:tc>
        <w:tc>
          <w:tcPr>
            <w:tcW w:w="3430" w:type="dxa"/>
            <w:vAlign w:val="center"/>
          </w:tcPr>
          <w:p>
            <w:pPr>
              <w:pStyle w:val="13"/>
            </w:pPr>
            <w:r>
              <w:t>场馆开放率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开展服务时长</w:t>
            </w:r>
          </w:p>
        </w:tc>
        <w:tc>
          <w:tcPr>
            <w:tcW w:w="3430" w:type="dxa"/>
            <w:vAlign w:val="center"/>
          </w:tcPr>
          <w:p>
            <w:pPr>
              <w:pStyle w:val="13"/>
            </w:pPr>
            <w:r>
              <w:t>开展服务时长</w:t>
            </w:r>
          </w:p>
        </w:tc>
        <w:tc>
          <w:tcPr>
            <w:tcW w:w="2551" w:type="dxa"/>
            <w:vAlign w:val="center"/>
          </w:tcPr>
          <w:p>
            <w:pPr>
              <w:pStyle w:val="13"/>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文化服务成本</w:t>
            </w:r>
          </w:p>
        </w:tc>
        <w:tc>
          <w:tcPr>
            <w:tcW w:w="3430" w:type="dxa"/>
            <w:vAlign w:val="center"/>
          </w:tcPr>
          <w:p>
            <w:pPr>
              <w:pStyle w:val="13"/>
            </w:pPr>
            <w:r>
              <w:t>文化服务成本</w:t>
            </w:r>
          </w:p>
        </w:tc>
        <w:tc>
          <w:tcPr>
            <w:tcW w:w="2551" w:type="dxa"/>
            <w:vAlign w:val="center"/>
          </w:tcPr>
          <w:p>
            <w:pPr>
              <w:pStyle w:val="13"/>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促进新区文化事业发展</w:t>
            </w:r>
          </w:p>
        </w:tc>
        <w:tc>
          <w:tcPr>
            <w:tcW w:w="3430" w:type="dxa"/>
            <w:vAlign w:val="center"/>
          </w:tcPr>
          <w:p>
            <w:pPr>
              <w:pStyle w:val="13"/>
            </w:pPr>
            <w:r>
              <w:t>促进新区文化事业发展</w:t>
            </w:r>
          </w:p>
        </w:tc>
        <w:tc>
          <w:tcPr>
            <w:tcW w:w="2551" w:type="dxa"/>
            <w:vAlign w:val="center"/>
          </w:tcPr>
          <w:p>
            <w:pPr>
              <w:pStyle w:val="13"/>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读者满意度</w:t>
            </w:r>
          </w:p>
        </w:tc>
        <w:tc>
          <w:tcPr>
            <w:tcW w:w="3430" w:type="dxa"/>
            <w:vAlign w:val="center"/>
          </w:tcPr>
          <w:p>
            <w:pPr>
              <w:pStyle w:val="13"/>
            </w:pPr>
            <w:r>
              <w:t>读者满意度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7" w:name="_Toc227694453"/>
      <w:r>
        <w:rPr>
          <w:rFonts w:ascii="方正仿宋_GBK" w:hAnsi="方正仿宋_GBK" w:eastAsia="方正仿宋_GBK" w:cs="方正仿宋_GBK"/>
          <w:sz w:val="28"/>
        </w:rPr>
        <w:t>24.2026年滨海新区图书馆区级免费开放绩效目标表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363201天津市滨海新区图书馆</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2026年滨海新区图书馆区级免费开放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350000.00</w:t>
            </w:r>
          </w:p>
        </w:tc>
        <w:tc>
          <w:tcPr>
            <w:tcW w:w="1587" w:type="dxa"/>
            <w:vAlign w:val="center"/>
          </w:tcPr>
          <w:p>
            <w:pPr>
              <w:pStyle w:val="14"/>
            </w:pPr>
            <w:r>
              <w:t>其中：财政    资金</w:t>
            </w:r>
          </w:p>
        </w:tc>
        <w:tc>
          <w:tcPr>
            <w:tcW w:w="1843" w:type="dxa"/>
            <w:vAlign w:val="center"/>
          </w:tcPr>
          <w:p>
            <w:pPr>
              <w:pStyle w:val="13"/>
            </w:pPr>
            <w:r>
              <w:t>350000.00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用于免费开放场馆，向读者提供公共文化服务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1.对免费开放的图书馆进行补助，保障2025年滨海新区图书馆基层公共文化服务开展，为新区读者提供优质文化服务，促进新区文化事业发展。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场馆开放数量</w:t>
            </w:r>
          </w:p>
        </w:tc>
        <w:tc>
          <w:tcPr>
            <w:tcW w:w="3430" w:type="dxa"/>
            <w:vAlign w:val="center"/>
          </w:tcPr>
          <w:p>
            <w:pPr>
              <w:pStyle w:val="13"/>
            </w:pPr>
            <w:r>
              <w:t>场馆开放数量</w:t>
            </w:r>
          </w:p>
        </w:tc>
        <w:tc>
          <w:tcPr>
            <w:tcW w:w="2551" w:type="dxa"/>
            <w:vAlign w:val="center"/>
          </w:tcPr>
          <w:p>
            <w:pPr>
              <w:pStyle w:val="13"/>
            </w:pP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场馆正常开放率</w:t>
            </w:r>
          </w:p>
        </w:tc>
        <w:tc>
          <w:tcPr>
            <w:tcW w:w="3430" w:type="dxa"/>
            <w:vAlign w:val="center"/>
          </w:tcPr>
          <w:p>
            <w:pPr>
              <w:pStyle w:val="13"/>
            </w:pPr>
            <w:r>
              <w:t>场馆正常开放率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场馆开放时长</w:t>
            </w:r>
          </w:p>
        </w:tc>
        <w:tc>
          <w:tcPr>
            <w:tcW w:w="3430" w:type="dxa"/>
            <w:vAlign w:val="center"/>
          </w:tcPr>
          <w:p>
            <w:pPr>
              <w:pStyle w:val="13"/>
            </w:pPr>
            <w:r>
              <w:t>场馆开放时长</w:t>
            </w:r>
          </w:p>
        </w:tc>
        <w:tc>
          <w:tcPr>
            <w:tcW w:w="2551" w:type="dxa"/>
            <w:vAlign w:val="center"/>
          </w:tcPr>
          <w:p>
            <w:pPr>
              <w:pStyle w:val="13"/>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场馆开放成本</w:t>
            </w:r>
          </w:p>
        </w:tc>
        <w:tc>
          <w:tcPr>
            <w:tcW w:w="3430" w:type="dxa"/>
            <w:vAlign w:val="center"/>
          </w:tcPr>
          <w:p>
            <w:pPr>
              <w:pStyle w:val="13"/>
            </w:pPr>
            <w:r>
              <w:t>场馆开放成本</w:t>
            </w:r>
          </w:p>
        </w:tc>
        <w:tc>
          <w:tcPr>
            <w:tcW w:w="2551" w:type="dxa"/>
            <w:vAlign w:val="center"/>
          </w:tcPr>
          <w:p>
            <w:pPr>
              <w:pStyle w:val="13"/>
            </w:pPr>
            <w:r>
              <w:t>≤35万元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促进新区文化事业发展</w:t>
            </w:r>
          </w:p>
        </w:tc>
        <w:tc>
          <w:tcPr>
            <w:tcW w:w="3430" w:type="dxa"/>
            <w:vAlign w:val="center"/>
          </w:tcPr>
          <w:p>
            <w:pPr>
              <w:pStyle w:val="13"/>
            </w:pPr>
            <w:r>
              <w:t>促进新区文化事业发展</w:t>
            </w:r>
          </w:p>
        </w:tc>
        <w:tc>
          <w:tcPr>
            <w:tcW w:w="2551" w:type="dxa"/>
            <w:vAlign w:val="center"/>
          </w:tcPr>
          <w:p>
            <w:pPr>
              <w:pStyle w:val="13"/>
            </w:pPr>
            <w:r>
              <w:t>显著促进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读者满意度</w:t>
            </w:r>
          </w:p>
        </w:tc>
        <w:tc>
          <w:tcPr>
            <w:tcW w:w="3430" w:type="dxa"/>
            <w:vAlign w:val="center"/>
          </w:tcPr>
          <w:p>
            <w:pPr>
              <w:pStyle w:val="13"/>
            </w:pPr>
            <w:r>
              <w:t>读者满意度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8" w:name="_Toc973948688"/>
      <w:r>
        <w:rPr>
          <w:rFonts w:ascii="方正仿宋_GBK" w:hAnsi="方正仿宋_GBK" w:eastAsia="方正仿宋_GBK" w:cs="方正仿宋_GBK"/>
          <w:sz w:val="28"/>
        </w:rPr>
        <w:t>25.2026年滨海新区图书馆图书报刊数字资源网络宽带项目*绩效目标表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363201天津市滨海新区图书馆</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2026年滨海新区图书馆图书报刊数字资源网络宽带项目*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300000.00</w:t>
            </w:r>
          </w:p>
        </w:tc>
        <w:tc>
          <w:tcPr>
            <w:tcW w:w="1587" w:type="dxa"/>
            <w:vAlign w:val="center"/>
          </w:tcPr>
          <w:p>
            <w:pPr>
              <w:pStyle w:val="14"/>
            </w:pPr>
            <w:r>
              <w:t>其中：财政    资金</w:t>
            </w:r>
          </w:p>
        </w:tc>
        <w:tc>
          <w:tcPr>
            <w:tcW w:w="1843" w:type="dxa"/>
            <w:vAlign w:val="center"/>
          </w:tcPr>
          <w:p>
            <w:pPr>
              <w:pStyle w:val="13"/>
            </w:pPr>
            <w:r>
              <w:t>300000.00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1.对图书馆各馆区公共文化服务项目的进度进行保障，为新区读者提供优质文化服务</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场馆数量</w:t>
            </w:r>
          </w:p>
        </w:tc>
        <w:tc>
          <w:tcPr>
            <w:tcW w:w="3430" w:type="dxa"/>
            <w:vAlign w:val="center"/>
          </w:tcPr>
          <w:p>
            <w:pPr>
              <w:pStyle w:val="13"/>
            </w:pPr>
            <w:r>
              <w:t>场馆数量</w:t>
            </w:r>
          </w:p>
        </w:tc>
        <w:tc>
          <w:tcPr>
            <w:tcW w:w="2551" w:type="dxa"/>
            <w:vAlign w:val="center"/>
          </w:tcPr>
          <w:p>
            <w:pPr>
              <w:pStyle w:val="13"/>
            </w:pP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场馆开放率</w:t>
            </w:r>
          </w:p>
        </w:tc>
        <w:tc>
          <w:tcPr>
            <w:tcW w:w="3430" w:type="dxa"/>
            <w:vAlign w:val="center"/>
          </w:tcPr>
          <w:p>
            <w:pPr>
              <w:pStyle w:val="13"/>
            </w:pPr>
            <w:r>
              <w:t>场馆开放率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开展服务时长</w:t>
            </w:r>
          </w:p>
        </w:tc>
        <w:tc>
          <w:tcPr>
            <w:tcW w:w="3430" w:type="dxa"/>
            <w:vAlign w:val="center"/>
          </w:tcPr>
          <w:p>
            <w:pPr>
              <w:pStyle w:val="13"/>
            </w:pPr>
            <w:r>
              <w:t>开展服务时长</w:t>
            </w:r>
          </w:p>
        </w:tc>
        <w:tc>
          <w:tcPr>
            <w:tcW w:w="2551" w:type="dxa"/>
            <w:vAlign w:val="center"/>
          </w:tcPr>
          <w:p>
            <w:pPr>
              <w:pStyle w:val="13"/>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进度款成本</w:t>
            </w:r>
          </w:p>
        </w:tc>
        <w:tc>
          <w:tcPr>
            <w:tcW w:w="3430" w:type="dxa"/>
            <w:vAlign w:val="center"/>
          </w:tcPr>
          <w:p>
            <w:pPr>
              <w:pStyle w:val="13"/>
            </w:pPr>
            <w:r>
              <w:t>进度款成本</w:t>
            </w:r>
          </w:p>
        </w:tc>
        <w:tc>
          <w:tcPr>
            <w:tcW w:w="2551" w:type="dxa"/>
            <w:vAlign w:val="center"/>
          </w:tcPr>
          <w:p>
            <w:pPr>
              <w:pStyle w:val="13"/>
            </w:pPr>
            <w:r>
              <w:t>≤30万元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促进新区文化事业发展</w:t>
            </w:r>
          </w:p>
        </w:tc>
        <w:tc>
          <w:tcPr>
            <w:tcW w:w="3430" w:type="dxa"/>
            <w:vAlign w:val="center"/>
          </w:tcPr>
          <w:p>
            <w:pPr>
              <w:pStyle w:val="13"/>
            </w:pPr>
            <w:r>
              <w:t>促进新区文化事业发展</w:t>
            </w:r>
          </w:p>
        </w:tc>
        <w:tc>
          <w:tcPr>
            <w:tcW w:w="2551" w:type="dxa"/>
            <w:vAlign w:val="center"/>
          </w:tcPr>
          <w:p>
            <w:pPr>
              <w:pStyle w:val="13"/>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读者满意度</w:t>
            </w:r>
          </w:p>
        </w:tc>
        <w:tc>
          <w:tcPr>
            <w:tcW w:w="3430" w:type="dxa"/>
            <w:vAlign w:val="center"/>
          </w:tcPr>
          <w:p>
            <w:pPr>
              <w:pStyle w:val="13"/>
            </w:pPr>
            <w:r>
              <w:t>读者满意度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9" w:name="_Toc680982423"/>
      <w:r>
        <w:rPr>
          <w:rFonts w:ascii="方正仿宋_GBK" w:hAnsi="方正仿宋_GBK" w:eastAsia="方正仿宋_GBK" w:cs="方正仿宋_GBK"/>
          <w:sz w:val="28"/>
        </w:rPr>
        <w:t>26.2026年滨海新区图书馆网络及文献资源等进度款绩效目标表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363201天津市滨海新区图书馆</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2026年滨海新区图书馆网络及文献资源等进度款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3610000.00</w:t>
            </w:r>
          </w:p>
        </w:tc>
        <w:tc>
          <w:tcPr>
            <w:tcW w:w="1587" w:type="dxa"/>
            <w:vAlign w:val="center"/>
          </w:tcPr>
          <w:p>
            <w:pPr>
              <w:pStyle w:val="14"/>
            </w:pPr>
            <w:r>
              <w:t>其中：财政    资金</w:t>
            </w:r>
          </w:p>
        </w:tc>
        <w:tc>
          <w:tcPr>
            <w:tcW w:w="1843" w:type="dxa"/>
            <w:vAlign w:val="center"/>
          </w:tcPr>
          <w:p>
            <w:pPr>
              <w:pStyle w:val="13"/>
            </w:pPr>
            <w:r>
              <w:t>3610000.00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用于图书馆网络及报刊文献资源等项目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1.用于图书馆网络及文献资源项目，满足滨城读者读书看报，接收新消息的基本需求。</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配送场馆数量</w:t>
            </w:r>
          </w:p>
        </w:tc>
        <w:tc>
          <w:tcPr>
            <w:tcW w:w="3430" w:type="dxa"/>
            <w:vAlign w:val="center"/>
          </w:tcPr>
          <w:p>
            <w:pPr>
              <w:pStyle w:val="13"/>
            </w:pPr>
            <w:r>
              <w:t>配送场馆数量</w:t>
            </w:r>
          </w:p>
        </w:tc>
        <w:tc>
          <w:tcPr>
            <w:tcW w:w="2551"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正规出版率</w:t>
            </w:r>
          </w:p>
        </w:tc>
        <w:tc>
          <w:tcPr>
            <w:tcW w:w="3430" w:type="dxa"/>
            <w:vAlign w:val="center"/>
          </w:tcPr>
          <w:p>
            <w:pPr>
              <w:pStyle w:val="13"/>
            </w:pPr>
            <w:r>
              <w:t>正规出版率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报刊配送频率</w:t>
            </w:r>
          </w:p>
        </w:tc>
        <w:tc>
          <w:tcPr>
            <w:tcW w:w="3430" w:type="dxa"/>
            <w:vAlign w:val="center"/>
          </w:tcPr>
          <w:p>
            <w:pPr>
              <w:pStyle w:val="13"/>
            </w:pPr>
            <w:r>
              <w:t>报刊配送频率</w:t>
            </w:r>
          </w:p>
        </w:tc>
        <w:tc>
          <w:tcPr>
            <w:tcW w:w="2551" w:type="dxa"/>
            <w:vAlign w:val="center"/>
          </w:tcPr>
          <w:p>
            <w:pPr>
              <w:pStyle w:val="13"/>
            </w:pPr>
            <w:r>
              <w:t>每日配送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网络及文献资源等购置成本</w:t>
            </w:r>
          </w:p>
        </w:tc>
        <w:tc>
          <w:tcPr>
            <w:tcW w:w="3430" w:type="dxa"/>
            <w:vAlign w:val="center"/>
          </w:tcPr>
          <w:p>
            <w:pPr>
              <w:pStyle w:val="13"/>
            </w:pPr>
            <w:r>
              <w:t>网络及文献资源等购置成本</w:t>
            </w:r>
          </w:p>
        </w:tc>
        <w:tc>
          <w:tcPr>
            <w:tcW w:w="2551" w:type="dxa"/>
            <w:vAlign w:val="center"/>
          </w:tcPr>
          <w:p>
            <w:pPr>
              <w:pStyle w:val="13"/>
            </w:pPr>
            <w:r>
              <w:t>≤361万元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提升公共文化服务水平</w:t>
            </w:r>
          </w:p>
        </w:tc>
        <w:tc>
          <w:tcPr>
            <w:tcW w:w="3430" w:type="dxa"/>
            <w:vAlign w:val="center"/>
          </w:tcPr>
          <w:p>
            <w:pPr>
              <w:pStyle w:val="13"/>
            </w:pPr>
            <w:r>
              <w:t>提升公共文化服务水平</w:t>
            </w:r>
          </w:p>
        </w:tc>
        <w:tc>
          <w:tcPr>
            <w:tcW w:w="2551" w:type="dxa"/>
            <w:vAlign w:val="center"/>
          </w:tcPr>
          <w:p>
            <w:pPr>
              <w:pStyle w:val="13"/>
            </w:pPr>
            <w:r>
              <w:t>大幅提高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读者满意度</w:t>
            </w:r>
          </w:p>
        </w:tc>
        <w:tc>
          <w:tcPr>
            <w:tcW w:w="3430" w:type="dxa"/>
            <w:vAlign w:val="center"/>
          </w:tcPr>
          <w:p>
            <w:pPr>
              <w:pStyle w:val="13"/>
            </w:pPr>
            <w:r>
              <w:t>读者满意度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0" w:name="_Toc2013600691"/>
      <w:r>
        <w:rPr>
          <w:rFonts w:ascii="方正仿宋_GBK" w:hAnsi="方正仿宋_GBK" w:eastAsia="方正仿宋_GBK" w:cs="方正仿宋_GBK"/>
          <w:sz w:val="28"/>
        </w:rPr>
        <w:t>27.图书馆-天津市财政局关于提前下达2026年国家文物保护资金预算的通知（津财教指【2025】96号）绩效目标表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363201天津市滨海新区图书馆</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图书馆-天津市财政局关于提前下达2026年国家文物保护资金预算的通知（津财教指【2025】96号）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4351000.00</w:t>
            </w:r>
          </w:p>
        </w:tc>
        <w:tc>
          <w:tcPr>
            <w:tcW w:w="1587" w:type="dxa"/>
            <w:vAlign w:val="center"/>
          </w:tcPr>
          <w:p>
            <w:pPr>
              <w:pStyle w:val="14"/>
            </w:pPr>
            <w:r>
              <w:t>其中：财政    资金</w:t>
            </w:r>
          </w:p>
        </w:tc>
        <w:tc>
          <w:tcPr>
            <w:tcW w:w="1843" w:type="dxa"/>
            <w:vAlign w:val="center"/>
          </w:tcPr>
          <w:p>
            <w:pPr>
              <w:pStyle w:val="13"/>
            </w:pPr>
            <w:r>
              <w:t>4351000.00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图书馆古籍书库提升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本项目工作目标主要是对天津市滨海新区图书馆古籍书库的保存环境进行提升，配置古籍文献藏展设施，同时建立古籍善本保存环境监测评估系统，实时监测古籍书库小环境和古籍善本保存微环境，形成馆藏古籍善本预防性风险管理机制，提升该馆馆藏古籍善本预防性保护的综合能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配备古籍书库环境监测系统数量</w:t>
            </w:r>
          </w:p>
        </w:tc>
        <w:tc>
          <w:tcPr>
            <w:tcW w:w="3430" w:type="dxa"/>
            <w:vAlign w:val="center"/>
          </w:tcPr>
          <w:p>
            <w:pPr>
              <w:pStyle w:val="13"/>
            </w:pPr>
            <w:r>
              <w:t>配备古籍书库环境监测系统数量</w:t>
            </w:r>
          </w:p>
        </w:tc>
        <w:tc>
          <w:tcPr>
            <w:tcW w:w="2551" w:type="dxa"/>
            <w:vAlign w:val="center"/>
          </w:tcPr>
          <w:p>
            <w:pPr>
              <w:pStyle w:val="13"/>
            </w:pPr>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配置古籍书库储藏柜架数量</w:t>
            </w:r>
          </w:p>
        </w:tc>
        <w:tc>
          <w:tcPr>
            <w:tcW w:w="3430" w:type="dxa"/>
            <w:vAlign w:val="center"/>
          </w:tcPr>
          <w:p>
            <w:pPr>
              <w:pStyle w:val="13"/>
            </w:pPr>
            <w:r>
              <w:t>配置古籍书库储藏柜架数量</w:t>
            </w:r>
          </w:p>
        </w:tc>
        <w:tc>
          <w:tcPr>
            <w:tcW w:w="2551" w:type="dxa"/>
            <w:vAlign w:val="center"/>
          </w:tcPr>
          <w:p>
            <w:pPr>
              <w:pStyle w:val="13"/>
            </w:pPr>
            <w:r>
              <w:t>≥102节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项目验收合格率</w:t>
            </w:r>
          </w:p>
        </w:tc>
        <w:tc>
          <w:tcPr>
            <w:tcW w:w="3430" w:type="dxa"/>
            <w:vAlign w:val="center"/>
          </w:tcPr>
          <w:p>
            <w:pPr>
              <w:pStyle w:val="13"/>
            </w:pPr>
            <w:r>
              <w:t>项目验收合格率</w:t>
            </w:r>
          </w:p>
        </w:tc>
        <w:tc>
          <w:tcPr>
            <w:tcW w:w="2551" w:type="dxa"/>
            <w:vAlign w:val="center"/>
          </w:tcPr>
          <w:p>
            <w:pPr>
              <w:pStyle w:val="13"/>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项目档案资料完整率</w:t>
            </w:r>
          </w:p>
        </w:tc>
        <w:tc>
          <w:tcPr>
            <w:tcW w:w="3430" w:type="dxa"/>
            <w:vAlign w:val="center"/>
          </w:tcPr>
          <w:p>
            <w:pPr>
              <w:pStyle w:val="13"/>
            </w:pPr>
            <w:r>
              <w:t>项目档案资料完整率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文物保护工作完成时间</w:t>
            </w:r>
          </w:p>
        </w:tc>
        <w:tc>
          <w:tcPr>
            <w:tcW w:w="3430" w:type="dxa"/>
            <w:vAlign w:val="center"/>
          </w:tcPr>
          <w:p>
            <w:pPr>
              <w:pStyle w:val="13"/>
            </w:pPr>
            <w:r>
              <w:t>文物保护工作完成时间</w:t>
            </w:r>
          </w:p>
        </w:tc>
        <w:tc>
          <w:tcPr>
            <w:tcW w:w="2551" w:type="dxa"/>
            <w:vAlign w:val="center"/>
          </w:tcPr>
          <w:p>
            <w:pPr>
              <w:pStyle w:val="13"/>
            </w:pPr>
            <w:r>
              <w:t>2026年12月前完成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文物保护费用</w:t>
            </w:r>
          </w:p>
        </w:tc>
        <w:tc>
          <w:tcPr>
            <w:tcW w:w="3430" w:type="dxa"/>
            <w:vAlign w:val="center"/>
          </w:tcPr>
          <w:p>
            <w:pPr>
              <w:pStyle w:val="13"/>
            </w:pPr>
            <w:r>
              <w:t>文物保护费用</w:t>
            </w:r>
          </w:p>
        </w:tc>
        <w:tc>
          <w:tcPr>
            <w:tcW w:w="2551" w:type="dxa"/>
            <w:vAlign w:val="center"/>
          </w:tcPr>
          <w:p>
            <w:pPr>
              <w:pStyle w:val="13"/>
            </w:pPr>
            <w:r>
              <w:t>≤435.1万元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提升国家文物保护水平与全民文物保护意识</w:t>
            </w:r>
          </w:p>
        </w:tc>
        <w:tc>
          <w:tcPr>
            <w:tcW w:w="3430" w:type="dxa"/>
            <w:vAlign w:val="center"/>
          </w:tcPr>
          <w:p>
            <w:pPr>
              <w:pStyle w:val="13"/>
            </w:pPr>
            <w:r>
              <w:t>提升国家文物保护水平与全民文物保护意识</w:t>
            </w:r>
          </w:p>
        </w:tc>
        <w:tc>
          <w:tcPr>
            <w:tcW w:w="2551" w:type="dxa"/>
            <w:vAlign w:val="center"/>
          </w:tcPr>
          <w:p>
            <w:pPr>
              <w:pStyle w:val="13"/>
            </w:pPr>
            <w:r>
              <w:t>比上一年度提升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对中华优秀传统文化传承影响</w:t>
            </w:r>
          </w:p>
        </w:tc>
        <w:tc>
          <w:tcPr>
            <w:tcW w:w="3430" w:type="dxa"/>
            <w:vAlign w:val="center"/>
          </w:tcPr>
          <w:p>
            <w:pPr>
              <w:pStyle w:val="13"/>
            </w:pPr>
            <w:r>
              <w:t>对中华优秀传统文化传承影响</w:t>
            </w:r>
          </w:p>
        </w:tc>
        <w:tc>
          <w:tcPr>
            <w:tcW w:w="2551" w:type="dxa"/>
            <w:vAlign w:val="center"/>
          </w:tcPr>
          <w:p>
            <w:pPr>
              <w:pStyle w:val="13"/>
            </w:pPr>
            <w:r>
              <w:t>长期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图书馆参观人员满意度</w:t>
            </w:r>
          </w:p>
        </w:tc>
        <w:tc>
          <w:tcPr>
            <w:tcW w:w="3430" w:type="dxa"/>
            <w:vAlign w:val="center"/>
          </w:tcPr>
          <w:p>
            <w:pPr>
              <w:pStyle w:val="13"/>
            </w:pPr>
            <w:r>
              <w:t>图书馆参观人员满意度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1" w:name="_Toc2072359420"/>
      <w:r>
        <w:rPr>
          <w:rFonts w:ascii="方正仿宋_GBK" w:hAnsi="方正仿宋_GBK" w:eastAsia="方正仿宋_GBK" w:cs="方正仿宋_GBK"/>
          <w:sz w:val="28"/>
        </w:rPr>
        <w:t>28.图书馆-天津市财政局关于提前下达2026年中央支持地方公共文化服务体系建设补助资金预算的通知（津财教指[2025]95号）绩效目标表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363201天津市滨海新区图书馆</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图书馆-天津市财政局关于提前下达2026年中央支持地方公共文化服务体系建设补助资金预算的通知（津财教指[2025]95号）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2977000.00</w:t>
            </w:r>
          </w:p>
        </w:tc>
        <w:tc>
          <w:tcPr>
            <w:tcW w:w="1587" w:type="dxa"/>
            <w:vAlign w:val="center"/>
          </w:tcPr>
          <w:p>
            <w:pPr>
              <w:pStyle w:val="14"/>
            </w:pPr>
            <w:r>
              <w:t>其中：财政    资金</w:t>
            </w:r>
          </w:p>
        </w:tc>
        <w:tc>
          <w:tcPr>
            <w:tcW w:w="1843" w:type="dxa"/>
            <w:vAlign w:val="center"/>
          </w:tcPr>
          <w:p>
            <w:pPr>
              <w:pStyle w:val="13"/>
            </w:pPr>
            <w:r>
              <w:t>2977000.00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用于免费开放场馆，发展公共文化事业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1.对免费开放场馆进行补助，保障滨海新区图书馆基层公共文化服务的开展，为新区读者提供优质文化服务，促进新区文化事业发展</w:t>
            </w:r>
          </w:p>
          <w:p>
            <w:pPr>
              <w:pStyle w:val="13"/>
            </w:pPr>
            <w:r>
              <w:t>2.用于公共文化服务体系建设所需基本服务开展，满足新区读者读书看报的需求，丰富读者文化生活</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场馆开放数量</w:t>
            </w:r>
          </w:p>
        </w:tc>
        <w:tc>
          <w:tcPr>
            <w:tcW w:w="3430" w:type="dxa"/>
            <w:vAlign w:val="center"/>
          </w:tcPr>
          <w:p>
            <w:pPr>
              <w:pStyle w:val="13"/>
            </w:pPr>
            <w:r>
              <w:t>场馆开放数量</w:t>
            </w:r>
          </w:p>
        </w:tc>
        <w:tc>
          <w:tcPr>
            <w:tcW w:w="2551" w:type="dxa"/>
            <w:vAlign w:val="center"/>
          </w:tcPr>
          <w:p>
            <w:pPr>
              <w:pStyle w:val="13"/>
            </w:pP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场馆正常开放率</w:t>
            </w:r>
          </w:p>
        </w:tc>
        <w:tc>
          <w:tcPr>
            <w:tcW w:w="3430" w:type="dxa"/>
            <w:vAlign w:val="center"/>
          </w:tcPr>
          <w:p>
            <w:pPr>
              <w:pStyle w:val="13"/>
            </w:pPr>
            <w:r>
              <w:t>场馆正常开放率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场馆开放时长</w:t>
            </w:r>
          </w:p>
        </w:tc>
        <w:tc>
          <w:tcPr>
            <w:tcW w:w="3430" w:type="dxa"/>
            <w:vAlign w:val="center"/>
          </w:tcPr>
          <w:p>
            <w:pPr>
              <w:pStyle w:val="13"/>
            </w:pPr>
            <w:r>
              <w:t>场馆开放时长</w:t>
            </w:r>
          </w:p>
        </w:tc>
        <w:tc>
          <w:tcPr>
            <w:tcW w:w="2551" w:type="dxa"/>
            <w:vAlign w:val="center"/>
          </w:tcPr>
          <w:p>
            <w:pPr>
              <w:pStyle w:val="13"/>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场馆免费开放成本</w:t>
            </w:r>
          </w:p>
        </w:tc>
        <w:tc>
          <w:tcPr>
            <w:tcW w:w="3430" w:type="dxa"/>
            <w:vAlign w:val="center"/>
          </w:tcPr>
          <w:p>
            <w:pPr>
              <w:pStyle w:val="13"/>
            </w:pPr>
            <w:r>
              <w:t>场馆免费开放成本</w:t>
            </w:r>
          </w:p>
        </w:tc>
        <w:tc>
          <w:tcPr>
            <w:tcW w:w="2551" w:type="dxa"/>
            <w:vAlign w:val="center"/>
          </w:tcPr>
          <w:p>
            <w:pPr>
              <w:pStyle w:val="13"/>
            </w:pPr>
            <w:r>
              <w:t>≤15万元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文化阵地数量</w:t>
            </w:r>
          </w:p>
        </w:tc>
        <w:tc>
          <w:tcPr>
            <w:tcW w:w="3430" w:type="dxa"/>
            <w:vAlign w:val="center"/>
          </w:tcPr>
          <w:p>
            <w:pPr>
              <w:pStyle w:val="13"/>
            </w:pPr>
            <w:r>
              <w:t>文化阵地数量</w:t>
            </w:r>
          </w:p>
        </w:tc>
        <w:tc>
          <w:tcPr>
            <w:tcW w:w="2551" w:type="dxa"/>
            <w:vAlign w:val="center"/>
          </w:tcPr>
          <w:p>
            <w:pPr>
              <w:pStyle w:val="13"/>
            </w:pP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活动参与率</w:t>
            </w:r>
          </w:p>
        </w:tc>
        <w:tc>
          <w:tcPr>
            <w:tcW w:w="3430" w:type="dxa"/>
            <w:vAlign w:val="center"/>
          </w:tcPr>
          <w:p>
            <w:pPr>
              <w:pStyle w:val="13"/>
            </w:pPr>
            <w:r>
              <w:t>活动参与率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平均单日服务时长</w:t>
            </w:r>
          </w:p>
        </w:tc>
        <w:tc>
          <w:tcPr>
            <w:tcW w:w="3430" w:type="dxa"/>
            <w:vAlign w:val="center"/>
          </w:tcPr>
          <w:p>
            <w:pPr>
              <w:pStyle w:val="13"/>
            </w:pPr>
            <w:r>
              <w:t>平均单日服务时长</w:t>
            </w:r>
          </w:p>
        </w:tc>
        <w:tc>
          <w:tcPr>
            <w:tcW w:w="2551" w:type="dxa"/>
            <w:vAlign w:val="center"/>
          </w:tcPr>
          <w:p>
            <w:pPr>
              <w:pStyle w:val="13"/>
            </w:pPr>
            <w:r>
              <w:t>≥9小时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公共文化服务体系建设成本</w:t>
            </w:r>
          </w:p>
        </w:tc>
        <w:tc>
          <w:tcPr>
            <w:tcW w:w="3430" w:type="dxa"/>
            <w:vAlign w:val="center"/>
          </w:tcPr>
          <w:p>
            <w:pPr>
              <w:pStyle w:val="13"/>
            </w:pPr>
            <w:r>
              <w:t>公共文化服务体系建设成本</w:t>
            </w:r>
          </w:p>
        </w:tc>
        <w:tc>
          <w:tcPr>
            <w:tcW w:w="2551" w:type="dxa"/>
            <w:vAlign w:val="center"/>
          </w:tcPr>
          <w:p>
            <w:pPr>
              <w:pStyle w:val="13"/>
            </w:pPr>
            <w:r>
              <w:t>≤282.7万元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促进新区文化事业发展</w:t>
            </w:r>
          </w:p>
        </w:tc>
        <w:tc>
          <w:tcPr>
            <w:tcW w:w="3430" w:type="dxa"/>
            <w:vAlign w:val="center"/>
          </w:tcPr>
          <w:p>
            <w:pPr>
              <w:pStyle w:val="13"/>
            </w:pPr>
            <w:r>
              <w:t>促进新区文化事业发展</w:t>
            </w:r>
          </w:p>
        </w:tc>
        <w:tc>
          <w:tcPr>
            <w:tcW w:w="2551" w:type="dxa"/>
            <w:vAlign w:val="center"/>
          </w:tcPr>
          <w:p>
            <w:pPr>
              <w:pStyle w:val="13"/>
            </w:pPr>
            <w:r>
              <w:t>显著促进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读者满意度</w:t>
            </w:r>
          </w:p>
        </w:tc>
        <w:tc>
          <w:tcPr>
            <w:tcW w:w="3430" w:type="dxa"/>
            <w:vAlign w:val="center"/>
          </w:tcPr>
          <w:p>
            <w:pPr>
              <w:pStyle w:val="13"/>
            </w:pPr>
            <w:r>
              <w:t>读者满意度</w:t>
            </w:r>
          </w:p>
        </w:tc>
        <w:tc>
          <w:tcPr>
            <w:tcW w:w="2551" w:type="dxa"/>
            <w:vAlign w:val="center"/>
          </w:tcPr>
          <w:p>
            <w:pPr>
              <w:pStyle w:val="13"/>
            </w:pPr>
            <w:r>
              <w:t>≥95%</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5"/>
  </w:compat>
  <w:rsids>
    <w:rsidRoot w:val="00000000"/>
    <w:rsid w:val="37F79B0D"/>
    <w:rsid w:val="4DD96E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2026-01-21T08:09:00Z</dcterms:created>
  <dc:creator>kylin</dc:creator>
  <cp:lastModifiedBy>办公室（党政收发）</cp:lastModifiedBy>
  <dcterms:modified xsi:type="dcterms:W3CDTF">2026-02-03T13:42:50Z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